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0BA8" w14:textId="086FE7F8" w:rsidR="00CD69DC" w:rsidRPr="00131BE6" w:rsidRDefault="000C6C19" w:rsidP="00C7077C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131BE6">
        <w:rPr>
          <w:rFonts w:ascii="Calibri" w:hAnsi="Calibri" w:cs="Calibri"/>
          <w:b/>
          <w:color w:val="000000"/>
          <w:sz w:val="22"/>
          <w:szCs w:val="22"/>
          <w:u w:val="single"/>
        </w:rPr>
        <w:t>Newly Added</w:t>
      </w:r>
      <w:r w:rsidR="006A3BAA" w:rsidRPr="00131BE6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CD69DC" w:rsidRPr="00131BE6">
        <w:rPr>
          <w:rFonts w:ascii="Calibri" w:hAnsi="Calibri" w:cs="Calibri"/>
          <w:b/>
          <w:color w:val="000000"/>
          <w:sz w:val="22"/>
          <w:szCs w:val="22"/>
          <w:u w:val="single"/>
        </w:rPr>
        <w:t>Improvement in Medical Practice</w:t>
      </w:r>
      <w:r w:rsidR="006A3BAA" w:rsidRPr="00131BE6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Activities </w:t>
      </w:r>
    </w:p>
    <w:p w14:paraId="7DE81408" w14:textId="4B558379" w:rsidR="004F2E05" w:rsidRPr="005F0252" w:rsidRDefault="004F2E05" w:rsidP="00CD69DC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5F0252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Instructions</w:t>
      </w:r>
    </w:p>
    <w:p w14:paraId="0CB6C161" w14:textId="615D1186" w:rsidR="006A3BAA" w:rsidRPr="00C50688" w:rsidRDefault="005C5A16" w:rsidP="00735F2E">
      <w:pPr>
        <w:spacing w:before="240" w:line="276" w:lineRule="auto"/>
        <w:rPr>
          <w:rStyle w:val="Hyperlink"/>
          <w:rFonts w:ascii="Calibri" w:hAnsi="Calibri" w:cs="Calibri"/>
          <w:i/>
          <w:iCs/>
          <w:color w:val="auto"/>
          <w:spacing w:val="-8"/>
          <w:sz w:val="22"/>
          <w:szCs w:val="22"/>
          <w:u w:val="none"/>
        </w:rPr>
      </w:pPr>
      <w:r w:rsidRPr="00C50688">
        <w:rPr>
          <w:rFonts w:ascii="Calibri" w:hAnsi="Calibri" w:cs="Calibri"/>
          <w:sz w:val="22"/>
          <w:szCs w:val="22"/>
        </w:rPr>
        <w:t>Th</w:t>
      </w:r>
      <w:r w:rsidR="00E81E85" w:rsidRPr="00C50688">
        <w:rPr>
          <w:rFonts w:ascii="Calibri" w:hAnsi="Calibri" w:cs="Calibri"/>
          <w:sz w:val="22"/>
          <w:szCs w:val="22"/>
        </w:rPr>
        <w:t>e</w:t>
      </w:r>
      <w:r w:rsidRPr="00C50688">
        <w:rPr>
          <w:rFonts w:ascii="Calibri" w:hAnsi="Calibri" w:cs="Calibri"/>
          <w:sz w:val="22"/>
          <w:szCs w:val="22"/>
        </w:rPr>
        <w:t xml:space="preserve"> A</w:t>
      </w:r>
      <w:r w:rsidR="00E81E85" w:rsidRPr="00C50688">
        <w:rPr>
          <w:rFonts w:ascii="Calibri" w:hAnsi="Calibri" w:cs="Calibri"/>
          <w:sz w:val="22"/>
          <w:szCs w:val="22"/>
        </w:rPr>
        <w:t xml:space="preserve">merican Academy of Ophthalmology </w:t>
      </w:r>
      <w:r w:rsidR="00735F2E" w:rsidRPr="00C50688">
        <w:rPr>
          <w:rFonts w:ascii="Calibri" w:hAnsi="Calibri" w:cs="Calibri"/>
          <w:sz w:val="22"/>
          <w:szCs w:val="22"/>
        </w:rPr>
        <w:t>(AAO</w:t>
      </w:r>
      <w:r w:rsidR="0069646E">
        <w:rPr>
          <w:rFonts w:ascii="Calibri" w:hAnsi="Calibri" w:cs="Calibri"/>
          <w:sz w:val="22"/>
          <w:szCs w:val="22"/>
        </w:rPr>
        <w:t>)</w:t>
      </w:r>
      <w:r w:rsidR="00735F2E" w:rsidRPr="00C50688">
        <w:rPr>
          <w:rFonts w:ascii="Calibri" w:hAnsi="Calibri" w:cs="Calibri"/>
          <w:sz w:val="22"/>
          <w:szCs w:val="22"/>
        </w:rPr>
        <w:t xml:space="preserve"> </w:t>
      </w:r>
      <w:r w:rsidRPr="00C50688">
        <w:rPr>
          <w:rFonts w:ascii="Calibri" w:hAnsi="Calibri" w:cs="Calibri"/>
          <w:sz w:val="22"/>
          <w:szCs w:val="22"/>
        </w:rPr>
        <w:t xml:space="preserve">offers </w:t>
      </w:r>
      <w:r w:rsidR="00F37315" w:rsidRPr="00C50688">
        <w:rPr>
          <w:rFonts w:ascii="Calibri" w:hAnsi="Calibri" w:cs="Calibri"/>
          <w:sz w:val="22"/>
          <w:szCs w:val="22"/>
        </w:rPr>
        <w:t>eleven</w:t>
      </w:r>
      <w:r w:rsidRPr="00C50688">
        <w:rPr>
          <w:rFonts w:ascii="Calibri" w:hAnsi="Calibri" w:cs="Calibri"/>
          <w:sz w:val="22"/>
          <w:szCs w:val="22"/>
        </w:rPr>
        <w:t xml:space="preserve"> online CME activit</w:t>
      </w:r>
      <w:r w:rsidR="00A55473" w:rsidRPr="00C50688">
        <w:rPr>
          <w:rFonts w:ascii="Calibri" w:hAnsi="Calibri" w:cs="Calibri"/>
          <w:sz w:val="22"/>
          <w:szCs w:val="22"/>
        </w:rPr>
        <w:t>ies approved</w:t>
      </w:r>
      <w:r w:rsidRPr="00C50688">
        <w:rPr>
          <w:rFonts w:ascii="Calibri" w:hAnsi="Calibri" w:cs="Calibri"/>
          <w:sz w:val="22"/>
          <w:szCs w:val="22"/>
        </w:rPr>
        <w:t xml:space="preserve"> for </w:t>
      </w:r>
      <w:r w:rsidR="00BD0D71" w:rsidRPr="00C50688">
        <w:rPr>
          <w:rFonts w:ascii="Calibri" w:hAnsi="Calibri" w:cs="Calibri"/>
          <w:sz w:val="22"/>
          <w:szCs w:val="22"/>
        </w:rPr>
        <w:t xml:space="preserve">MOC </w:t>
      </w:r>
      <w:r w:rsidRPr="00C50688">
        <w:rPr>
          <w:rFonts w:ascii="Calibri" w:hAnsi="Calibri" w:cs="Calibri"/>
          <w:sz w:val="22"/>
          <w:szCs w:val="22"/>
        </w:rPr>
        <w:t>Improvement in Medical Practice credit by the A</w:t>
      </w:r>
      <w:r w:rsidR="00E81E85" w:rsidRPr="00C50688">
        <w:rPr>
          <w:rFonts w:ascii="Calibri" w:hAnsi="Calibri" w:cs="Calibri"/>
          <w:sz w:val="22"/>
          <w:szCs w:val="22"/>
        </w:rPr>
        <w:t>merican Board of Ophthalmology</w:t>
      </w:r>
      <w:r w:rsidR="00FD1851" w:rsidRPr="00C50688">
        <w:rPr>
          <w:rFonts w:ascii="Calibri" w:hAnsi="Calibri" w:cs="Calibri"/>
          <w:sz w:val="22"/>
          <w:szCs w:val="22"/>
        </w:rPr>
        <w:t xml:space="preserve"> (ABO)</w:t>
      </w:r>
      <w:r w:rsidR="00E81E85" w:rsidRPr="00C50688">
        <w:rPr>
          <w:rFonts w:ascii="Calibri" w:hAnsi="Calibri" w:cs="Calibri"/>
          <w:sz w:val="22"/>
          <w:szCs w:val="22"/>
        </w:rPr>
        <w:t xml:space="preserve">. The menu includes </w:t>
      </w:r>
      <w:r w:rsidR="00F37315" w:rsidRPr="00C50688">
        <w:rPr>
          <w:rFonts w:ascii="Calibri" w:hAnsi="Calibri" w:cs="Calibri"/>
          <w:sz w:val="22"/>
          <w:szCs w:val="22"/>
        </w:rPr>
        <w:t xml:space="preserve">nine </w:t>
      </w:r>
      <w:r w:rsidR="00FD1851" w:rsidRPr="00C50688">
        <w:rPr>
          <w:rFonts w:ascii="Calibri" w:hAnsi="Calibri" w:cs="Calibri"/>
          <w:sz w:val="22"/>
          <w:szCs w:val="22"/>
        </w:rPr>
        <w:t>Academy</w:t>
      </w:r>
      <w:r w:rsidR="00756C68" w:rsidRPr="00C50688">
        <w:rPr>
          <w:rFonts w:ascii="Calibri" w:hAnsi="Calibri" w:cs="Calibri"/>
          <w:sz w:val="22"/>
          <w:szCs w:val="22"/>
        </w:rPr>
        <w:t xml:space="preserve"> Learning Plans</w:t>
      </w:r>
      <w:r w:rsidR="00E81E85" w:rsidRPr="00C50688">
        <w:rPr>
          <w:rFonts w:ascii="Calibri" w:hAnsi="Calibri" w:cs="Calibri"/>
          <w:sz w:val="22"/>
          <w:szCs w:val="22"/>
        </w:rPr>
        <w:t xml:space="preserve"> (</w:t>
      </w:r>
      <w:r w:rsidR="00F37315" w:rsidRPr="00C7077C">
        <w:rPr>
          <w:rFonts w:ascii="Calibri" w:hAnsi="Calibri"/>
          <w:i/>
          <w:iCs/>
          <w:sz w:val="22"/>
          <w:szCs w:val="22"/>
        </w:rPr>
        <w:t xml:space="preserve">Anisometropic Amblyopia; </w:t>
      </w:r>
      <w:r w:rsidR="00F37315" w:rsidRPr="00C7077C">
        <w:rPr>
          <w:rFonts w:ascii="Calibri" w:hAnsi="Calibri"/>
          <w:bCs/>
          <w:i/>
          <w:iCs/>
          <w:sz w:val="22"/>
          <w:szCs w:val="22"/>
        </w:rPr>
        <w:t>Anti-VEGF Therapy in Patients with Neovascular AMD; Assessing Risk of Glaucoma Progression</w:t>
      </w:r>
      <w:r w:rsidR="00F37315" w:rsidRPr="00C7077C">
        <w:rPr>
          <w:rFonts w:ascii="Calibri" w:hAnsi="Calibri"/>
          <w:bCs/>
          <w:sz w:val="22"/>
          <w:szCs w:val="22"/>
        </w:rPr>
        <w:t xml:space="preserve">; </w:t>
      </w:r>
      <w:hyperlink r:id="rId5" w:history="1">
        <w:r w:rsidR="00F37315" w:rsidRPr="00C7077C">
          <w:rPr>
            <w:rStyle w:val="Hyperlink"/>
            <w:rFonts w:ascii="Calibri" w:hAnsi="Calibri" w:cs="Calibri"/>
            <w:i/>
            <w:iCs/>
            <w:color w:val="auto"/>
            <w:spacing w:val="-8"/>
            <w:sz w:val="22"/>
            <w:szCs w:val="22"/>
            <w:u w:val="none"/>
          </w:rPr>
          <w:t>Improving Outcomes in Cataract Surgery: Targeting Best Corrected Visual Acuity</w:t>
        </w:r>
      </w:hyperlink>
      <w:r w:rsidR="00F37315" w:rsidRPr="00C7077C">
        <w:rPr>
          <w:rFonts w:ascii="Calibri" w:hAnsi="Calibri" w:cs="Calibri"/>
          <w:i/>
          <w:iCs/>
          <w:sz w:val="22"/>
          <w:szCs w:val="22"/>
        </w:rPr>
        <w:t xml:space="preserve">; </w:t>
      </w:r>
      <w:hyperlink r:id="rId6" w:history="1">
        <w:r w:rsidR="00F37315" w:rsidRPr="00C7077C">
          <w:rPr>
            <w:rStyle w:val="Hyperlink"/>
            <w:rFonts w:ascii="Calibri" w:hAnsi="Calibri" w:cs="Calibri"/>
            <w:i/>
            <w:iCs/>
            <w:color w:val="auto"/>
            <w:spacing w:val="-8"/>
            <w:sz w:val="22"/>
            <w:szCs w:val="22"/>
            <w:u w:val="none"/>
          </w:rPr>
          <w:t>Improving Outcomes in Cataract Surgery: Targeting Uncorrected Visual Acuity</w:t>
        </w:r>
      </w:hyperlink>
      <w:r w:rsidR="00F37315" w:rsidRPr="00C7077C">
        <w:rPr>
          <w:rFonts w:ascii="Calibri" w:hAnsi="Calibri" w:cs="Calibri"/>
          <w:sz w:val="22"/>
          <w:szCs w:val="22"/>
        </w:rPr>
        <w:t xml:space="preserve">; </w:t>
      </w:r>
      <w:hyperlink r:id="rId7" w:history="1">
        <w:r w:rsidR="00F37315" w:rsidRPr="00C7077C">
          <w:rPr>
            <w:rStyle w:val="Hyperlink"/>
            <w:rFonts w:ascii="Calibri" w:hAnsi="Calibri" w:cs="Calibri"/>
            <w:i/>
            <w:iCs/>
            <w:color w:val="auto"/>
            <w:spacing w:val="-8"/>
            <w:sz w:val="22"/>
            <w:szCs w:val="22"/>
            <w:u w:val="none"/>
          </w:rPr>
          <w:t>Improving Vision after Retinal Detachment Repair</w:t>
        </w:r>
      </w:hyperlink>
      <w:r w:rsidR="00F37315" w:rsidRPr="00C7077C">
        <w:rPr>
          <w:rStyle w:val="Hyperlink"/>
          <w:rFonts w:ascii="Calibri" w:hAnsi="Calibri" w:cs="Calibri"/>
          <w:i/>
          <w:iCs/>
          <w:color w:val="auto"/>
          <w:spacing w:val="-8"/>
          <w:sz w:val="22"/>
          <w:szCs w:val="22"/>
          <w:u w:val="none"/>
        </w:rPr>
        <w:t xml:space="preserve">; </w:t>
      </w:r>
      <w:r w:rsidR="00F37315" w:rsidRPr="00C7077C">
        <w:rPr>
          <w:rFonts w:ascii="Calibri" w:hAnsi="Calibri"/>
          <w:bCs/>
          <w:i/>
          <w:iCs/>
          <w:sz w:val="22"/>
          <w:szCs w:val="22"/>
        </w:rPr>
        <w:t xml:space="preserve">Laser and Injection Therapy in Patients with DME; </w:t>
      </w:r>
      <w:r w:rsidR="00F37315" w:rsidRPr="00C7077C">
        <w:rPr>
          <w:rFonts w:ascii="Calibri" w:hAnsi="Calibri"/>
          <w:i/>
          <w:iCs/>
          <w:sz w:val="22"/>
          <w:szCs w:val="22"/>
        </w:rPr>
        <w:t xml:space="preserve">Treatment of </w:t>
      </w:r>
      <w:r w:rsidR="00F37315" w:rsidRPr="00C7077C">
        <w:rPr>
          <w:rFonts w:ascii="Calibri" w:hAnsi="Calibri"/>
          <w:bCs/>
          <w:i/>
          <w:iCs/>
          <w:sz w:val="22"/>
          <w:szCs w:val="22"/>
        </w:rPr>
        <w:t>Uveitic Macular Edema</w:t>
      </w:r>
      <w:r w:rsidR="00C50688" w:rsidRPr="00C7077C">
        <w:rPr>
          <w:rFonts w:ascii="Calibri" w:hAnsi="Calibri"/>
          <w:bCs/>
          <w:i/>
          <w:iCs/>
          <w:sz w:val="22"/>
          <w:szCs w:val="22"/>
        </w:rPr>
        <w:t xml:space="preserve">; </w:t>
      </w:r>
      <w:r w:rsidR="00F37315" w:rsidRPr="00C7077C">
        <w:rPr>
          <w:rFonts w:ascii="Calibri" w:hAnsi="Calibri"/>
          <w:bCs/>
          <w:i/>
          <w:iCs/>
          <w:sz w:val="22"/>
          <w:szCs w:val="22"/>
        </w:rPr>
        <w:t>When to Change Glaucoma Therapy</w:t>
      </w:r>
      <w:r w:rsidR="00C50688" w:rsidRPr="00C7077C">
        <w:rPr>
          <w:rFonts w:ascii="Calibri" w:hAnsi="Calibri"/>
          <w:bCs/>
          <w:i/>
          <w:iCs/>
          <w:sz w:val="22"/>
          <w:szCs w:val="22"/>
        </w:rPr>
        <w:t xml:space="preserve"> and </w:t>
      </w:r>
      <w:r w:rsidR="00F37315" w:rsidRPr="00C7077C">
        <w:rPr>
          <w:rFonts w:ascii="Calibri" w:hAnsi="Calibri"/>
          <w:bCs/>
          <w:i/>
          <w:iCs/>
          <w:sz w:val="22"/>
          <w:szCs w:val="22"/>
        </w:rPr>
        <w:t>Why Patients Might Fail</w:t>
      </w:r>
      <w:r w:rsidR="00E81E85" w:rsidRPr="00C50688">
        <w:rPr>
          <w:rStyle w:val="Hyperlink"/>
          <w:rFonts w:ascii="Calibri" w:hAnsi="Calibri" w:cs="Calibri"/>
          <w:i/>
          <w:iCs/>
          <w:color w:val="auto"/>
          <w:spacing w:val="-8"/>
          <w:sz w:val="22"/>
          <w:szCs w:val="22"/>
          <w:u w:val="none"/>
        </w:rPr>
        <w:t>)</w:t>
      </w:r>
      <w:r w:rsidR="006A3BAA" w:rsidRPr="00C50688">
        <w:rPr>
          <w:rStyle w:val="Hyperlink"/>
          <w:rFonts w:ascii="Calibri" w:hAnsi="Calibri" w:cs="Calibri"/>
          <w:i/>
          <w:iCs/>
          <w:color w:val="auto"/>
          <w:spacing w:val="-8"/>
          <w:sz w:val="22"/>
          <w:szCs w:val="22"/>
          <w:u w:val="none"/>
        </w:rPr>
        <w:t>.</w:t>
      </w:r>
    </w:p>
    <w:p w14:paraId="05EDA441" w14:textId="77777777" w:rsidR="006A3BAA" w:rsidRPr="00131BE6" w:rsidRDefault="006A3BAA" w:rsidP="0095775C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284D6E2" w14:textId="5397B661" w:rsidR="00CD4B6F" w:rsidRPr="00131BE6" w:rsidRDefault="006A3BAA" w:rsidP="00E81E85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131BE6">
        <w:rPr>
          <w:rFonts w:ascii="Calibri" w:hAnsi="Calibri" w:cs="Calibri"/>
          <w:color w:val="000000"/>
          <w:sz w:val="22"/>
          <w:szCs w:val="22"/>
        </w:rPr>
        <w:t>Each Learning Plan</w:t>
      </w:r>
      <w:r w:rsidR="00F22839" w:rsidRPr="00131B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6C68" w:rsidRPr="00131BE6">
        <w:rPr>
          <w:rFonts w:ascii="Calibri" w:hAnsi="Calibri" w:cs="Calibri"/>
          <w:color w:val="000000"/>
          <w:sz w:val="22"/>
          <w:szCs w:val="22"/>
        </w:rPr>
        <w:t>offer</w:t>
      </w:r>
      <w:r w:rsidR="00F22839" w:rsidRPr="00131BE6">
        <w:rPr>
          <w:rFonts w:ascii="Calibri" w:hAnsi="Calibri" w:cs="Calibri"/>
          <w:color w:val="000000"/>
          <w:sz w:val="22"/>
          <w:szCs w:val="22"/>
        </w:rPr>
        <w:t>s</w:t>
      </w:r>
      <w:r w:rsidR="00756C68" w:rsidRPr="00131B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6C68" w:rsidRPr="00D3528B">
        <w:rPr>
          <w:rFonts w:ascii="Calibri" w:hAnsi="Calibri" w:cs="Calibri"/>
          <w:color w:val="000000"/>
          <w:sz w:val="22"/>
          <w:szCs w:val="22"/>
        </w:rPr>
        <w:t>2</w:t>
      </w:r>
      <w:r w:rsidR="0069646E" w:rsidRPr="00D352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528B" w:rsidRPr="00D3528B">
        <w:rPr>
          <w:rFonts w:ascii="Calibri" w:hAnsi="Calibri" w:cs="Calibri"/>
          <w:color w:val="000000"/>
          <w:sz w:val="22"/>
          <w:szCs w:val="22"/>
        </w:rPr>
        <w:t>-</w:t>
      </w:r>
      <w:r w:rsidR="00A40DAC">
        <w:rPr>
          <w:rFonts w:ascii="Calibri" w:hAnsi="Calibri" w:cs="Calibri"/>
          <w:color w:val="000000"/>
          <w:sz w:val="22"/>
          <w:szCs w:val="22"/>
        </w:rPr>
        <w:t xml:space="preserve"> 4</w:t>
      </w:r>
      <w:r w:rsidR="00D3528B" w:rsidRPr="00D352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6C68" w:rsidRPr="00CB5D81">
        <w:rPr>
          <w:rFonts w:ascii="Calibri" w:hAnsi="Calibri" w:cs="Calibri"/>
          <w:i/>
          <w:iCs/>
          <w:color w:val="000000"/>
          <w:sz w:val="22"/>
          <w:szCs w:val="22"/>
        </w:rPr>
        <w:t xml:space="preserve">AMA PRA Category 1 </w:t>
      </w:r>
      <w:r w:rsidR="00C02700">
        <w:rPr>
          <w:rFonts w:ascii="Calibri" w:hAnsi="Calibri" w:cs="Calibri"/>
          <w:i/>
          <w:iCs/>
          <w:color w:val="000000"/>
          <w:sz w:val="22"/>
          <w:szCs w:val="22"/>
        </w:rPr>
        <w:t>Credits</w:t>
      </w:r>
      <w:r w:rsidR="0007597F" w:rsidRPr="00CB5D81">
        <w:rPr>
          <w:rFonts w:ascii="Calibri" w:hAnsi="Calibri" w:cs="Calibri"/>
          <w:color w:val="000000"/>
          <w:sz w:val="22"/>
          <w:szCs w:val="22"/>
          <w:vertAlign w:val="superscript"/>
        </w:rPr>
        <w:t>TM</w:t>
      </w:r>
      <w:r w:rsidR="00AD1520" w:rsidRPr="00131B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2066" w:rsidRPr="00131BE6">
        <w:rPr>
          <w:rFonts w:ascii="Calibri" w:hAnsi="Calibri" w:cs="Calibri"/>
          <w:color w:val="000000"/>
          <w:sz w:val="22"/>
          <w:szCs w:val="22"/>
        </w:rPr>
        <w:t>that qualify as self-assessment credits</w:t>
      </w:r>
      <w:r w:rsidR="00AD1520" w:rsidRPr="00131BE6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E81E85" w:rsidRPr="00131BE6">
        <w:rPr>
          <w:rFonts w:ascii="Calibri" w:hAnsi="Calibri" w:cs="Calibri"/>
          <w:color w:val="000000"/>
          <w:sz w:val="22"/>
          <w:szCs w:val="22"/>
        </w:rPr>
        <w:t>T</w:t>
      </w:r>
      <w:r w:rsidR="00C66FC3" w:rsidRPr="00131BE6">
        <w:rPr>
          <w:rFonts w:ascii="Calibri" w:hAnsi="Calibri" w:cs="Calibri"/>
          <w:color w:val="000000"/>
          <w:sz w:val="22"/>
          <w:szCs w:val="22"/>
        </w:rPr>
        <w:t>ime requirements depend on each individual activity</w:t>
      </w:r>
      <w:r w:rsidR="009D6A90" w:rsidRPr="00131B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22839" w:rsidRPr="00131BE6">
        <w:rPr>
          <w:rFonts w:ascii="Calibri" w:hAnsi="Calibri" w:cs="Calibri"/>
          <w:color w:val="000000"/>
          <w:sz w:val="22"/>
          <w:szCs w:val="22"/>
        </w:rPr>
        <w:t>and include com</w:t>
      </w:r>
      <w:r w:rsidR="009D6A90" w:rsidRPr="00131BE6">
        <w:rPr>
          <w:rFonts w:ascii="Calibri" w:hAnsi="Calibri" w:cs="Calibri"/>
          <w:color w:val="000000"/>
          <w:sz w:val="22"/>
          <w:szCs w:val="22"/>
        </w:rPr>
        <w:t xml:space="preserve">pletion of a pre- and post-test. </w:t>
      </w:r>
    </w:p>
    <w:p w14:paraId="3F27087E" w14:textId="77777777" w:rsidR="008424D6" w:rsidRPr="00131BE6" w:rsidRDefault="008424D6" w:rsidP="00756C6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F3E8C17" w14:textId="22503E25" w:rsidR="008424D6" w:rsidRPr="00131BE6" w:rsidRDefault="008424D6" w:rsidP="0095775C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31BE6">
        <w:rPr>
          <w:rFonts w:ascii="Calibri" w:hAnsi="Calibri" w:cs="Calibri"/>
          <w:b/>
          <w:bCs/>
          <w:color w:val="000000"/>
          <w:sz w:val="22"/>
          <w:szCs w:val="22"/>
        </w:rPr>
        <w:t xml:space="preserve">Access </w:t>
      </w:r>
      <w:r w:rsidR="005C5A16" w:rsidRPr="00131BE6">
        <w:rPr>
          <w:rFonts w:ascii="Calibri" w:hAnsi="Calibri" w:cs="Calibri"/>
          <w:b/>
          <w:bCs/>
          <w:color w:val="000000"/>
          <w:sz w:val="22"/>
          <w:szCs w:val="22"/>
        </w:rPr>
        <w:t xml:space="preserve">an </w:t>
      </w:r>
      <w:r w:rsidR="00D00A0A">
        <w:rPr>
          <w:rFonts w:ascii="Calibri" w:hAnsi="Calibri" w:cs="Calibri"/>
          <w:b/>
          <w:bCs/>
          <w:color w:val="000000"/>
          <w:sz w:val="22"/>
          <w:szCs w:val="22"/>
        </w:rPr>
        <w:t>Online A</w:t>
      </w:r>
      <w:r w:rsidR="00FD1851">
        <w:rPr>
          <w:rFonts w:ascii="Calibri" w:hAnsi="Calibri" w:cs="Calibri"/>
          <w:b/>
          <w:bCs/>
          <w:color w:val="000000"/>
          <w:sz w:val="22"/>
          <w:szCs w:val="22"/>
        </w:rPr>
        <w:t>cademy</w:t>
      </w:r>
      <w:r w:rsidR="00D00A0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C5A16" w:rsidRPr="00131BE6">
        <w:rPr>
          <w:rFonts w:ascii="Calibri" w:hAnsi="Calibri" w:cs="Calibri"/>
          <w:b/>
          <w:bCs/>
          <w:color w:val="000000"/>
          <w:sz w:val="22"/>
          <w:szCs w:val="22"/>
        </w:rPr>
        <w:t>Activity</w:t>
      </w:r>
    </w:p>
    <w:p w14:paraId="0D7AD30A" w14:textId="7A290D0C" w:rsidR="006A3BAA" w:rsidRPr="00131BE6" w:rsidRDefault="0095775C" w:rsidP="00F22839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131BE6">
        <w:rPr>
          <w:rFonts w:ascii="Calibri" w:hAnsi="Calibri" w:cs="Calibri"/>
          <w:sz w:val="22"/>
          <w:szCs w:val="22"/>
        </w:rPr>
        <w:t>Log on to your MOC status page using your email address and password</w:t>
      </w:r>
      <w:r w:rsidR="00956238" w:rsidRPr="00131BE6">
        <w:rPr>
          <w:rFonts w:ascii="Calibri" w:hAnsi="Calibri" w:cs="Calibri"/>
          <w:sz w:val="22"/>
          <w:szCs w:val="22"/>
        </w:rPr>
        <w:t>.</w:t>
      </w:r>
      <w:r w:rsidRPr="00131BE6">
        <w:rPr>
          <w:rFonts w:ascii="Calibri" w:hAnsi="Calibri" w:cs="Calibri"/>
          <w:sz w:val="22"/>
          <w:szCs w:val="22"/>
        </w:rPr>
        <w:t xml:space="preserve"> </w:t>
      </w:r>
      <w:r w:rsidR="00956238" w:rsidRPr="00131BE6">
        <w:rPr>
          <w:rFonts w:ascii="Calibri" w:hAnsi="Calibri" w:cs="Calibri"/>
          <w:sz w:val="22"/>
          <w:szCs w:val="22"/>
        </w:rPr>
        <w:t xml:space="preserve"> In the event of a </w:t>
      </w:r>
      <w:r w:rsidR="00083C54">
        <w:rPr>
          <w:rFonts w:ascii="Calibri" w:hAnsi="Calibri" w:cs="Calibri"/>
          <w:sz w:val="22"/>
          <w:szCs w:val="22"/>
        </w:rPr>
        <w:t>forgotten</w:t>
      </w:r>
      <w:r w:rsidR="00083C54" w:rsidRPr="00131BE6">
        <w:rPr>
          <w:rFonts w:ascii="Calibri" w:hAnsi="Calibri" w:cs="Calibri"/>
          <w:sz w:val="22"/>
          <w:szCs w:val="22"/>
        </w:rPr>
        <w:t xml:space="preserve"> </w:t>
      </w:r>
      <w:r w:rsidR="00956238" w:rsidRPr="00131BE6">
        <w:rPr>
          <w:rFonts w:ascii="Calibri" w:hAnsi="Calibri" w:cs="Calibri"/>
          <w:sz w:val="22"/>
          <w:szCs w:val="22"/>
        </w:rPr>
        <w:t xml:space="preserve">password you </w:t>
      </w:r>
      <w:r w:rsidRPr="00131BE6">
        <w:rPr>
          <w:rFonts w:ascii="Calibri" w:hAnsi="Calibri" w:cs="Calibri"/>
          <w:sz w:val="22"/>
          <w:szCs w:val="22"/>
        </w:rPr>
        <w:t xml:space="preserve">can "Retrieve Login" in the upper right-hand corner of the </w:t>
      </w:r>
      <w:r w:rsidR="00F22839" w:rsidRPr="00131BE6">
        <w:rPr>
          <w:rFonts w:ascii="Calibri" w:hAnsi="Calibri" w:cs="Calibri"/>
          <w:sz w:val="22"/>
          <w:szCs w:val="22"/>
        </w:rPr>
        <w:t xml:space="preserve">ABO </w:t>
      </w:r>
      <w:r w:rsidRPr="00131BE6">
        <w:rPr>
          <w:rFonts w:ascii="Calibri" w:hAnsi="Calibri" w:cs="Calibri"/>
          <w:sz w:val="22"/>
          <w:szCs w:val="22"/>
        </w:rPr>
        <w:t xml:space="preserve">main page </w:t>
      </w:r>
      <w:r w:rsidR="00956238" w:rsidRPr="00131BE6">
        <w:rPr>
          <w:rFonts w:ascii="Calibri" w:hAnsi="Calibri" w:cs="Calibri"/>
          <w:sz w:val="22"/>
          <w:szCs w:val="22"/>
        </w:rPr>
        <w:t>at (</w:t>
      </w:r>
      <w:hyperlink r:id="rId8" w:history="1">
        <w:r w:rsidRPr="00131BE6">
          <w:rPr>
            <w:rStyle w:val="Hyperlink"/>
            <w:rFonts w:ascii="Calibri" w:hAnsi="Calibri" w:cs="Calibri"/>
            <w:sz w:val="22"/>
            <w:szCs w:val="22"/>
          </w:rPr>
          <w:t>www.abop.org</w:t>
        </w:r>
      </w:hyperlink>
      <w:r w:rsidRPr="00131BE6">
        <w:rPr>
          <w:rFonts w:ascii="Calibri" w:hAnsi="Calibri" w:cs="Calibri"/>
          <w:color w:val="1F497D"/>
          <w:sz w:val="22"/>
          <w:szCs w:val="22"/>
        </w:rPr>
        <w:t xml:space="preserve">). </w:t>
      </w:r>
      <w:r w:rsidRPr="00131BE6">
        <w:rPr>
          <w:rFonts w:ascii="Calibri" w:hAnsi="Calibri" w:cs="Calibri"/>
          <w:sz w:val="22"/>
          <w:szCs w:val="22"/>
        </w:rPr>
        <w:t>Once there, type in the email address and submit</w:t>
      </w:r>
      <w:r w:rsidR="004F2E05" w:rsidRPr="00131BE6">
        <w:rPr>
          <w:rFonts w:ascii="Calibri" w:hAnsi="Calibri" w:cs="Calibri"/>
          <w:sz w:val="22"/>
          <w:szCs w:val="22"/>
        </w:rPr>
        <w:t xml:space="preserve">. A </w:t>
      </w:r>
      <w:r w:rsidRPr="00131BE6">
        <w:rPr>
          <w:rFonts w:ascii="Calibri" w:hAnsi="Calibri" w:cs="Calibri"/>
          <w:sz w:val="22"/>
          <w:szCs w:val="22"/>
        </w:rPr>
        <w:t xml:space="preserve">temporary password will be sent.  You may also contact the office </w:t>
      </w:r>
      <w:r w:rsidR="004F2E05" w:rsidRPr="00131BE6">
        <w:rPr>
          <w:rFonts w:ascii="Calibri" w:hAnsi="Calibri" w:cs="Calibri"/>
          <w:sz w:val="22"/>
          <w:szCs w:val="22"/>
        </w:rPr>
        <w:t xml:space="preserve">at 610-664-1175 </w:t>
      </w:r>
      <w:r w:rsidR="00125D51" w:rsidRPr="00131BE6">
        <w:rPr>
          <w:rFonts w:ascii="Calibri" w:hAnsi="Calibri" w:cs="Calibri"/>
          <w:sz w:val="22"/>
          <w:szCs w:val="22"/>
        </w:rPr>
        <w:t xml:space="preserve">x807, </w:t>
      </w:r>
      <w:r w:rsidRPr="00131BE6">
        <w:rPr>
          <w:rFonts w:ascii="Calibri" w:hAnsi="Calibri" w:cs="Calibri"/>
          <w:sz w:val="22"/>
          <w:szCs w:val="22"/>
        </w:rPr>
        <w:t xml:space="preserve">and we can reset your password for you.  </w:t>
      </w:r>
    </w:p>
    <w:p w14:paraId="3D9A37F8" w14:textId="77777777" w:rsidR="006A3BAA" w:rsidRPr="00131BE6" w:rsidRDefault="006A3BAA" w:rsidP="00F22839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</w:p>
    <w:p w14:paraId="45B8E9CC" w14:textId="46B596B8" w:rsidR="00974C23" w:rsidRPr="00131BE6" w:rsidRDefault="00A55473" w:rsidP="00F22839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bookmarkStart w:id="0" w:name="_Hlk41471668"/>
      <w:r>
        <w:rPr>
          <w:rFonts w:ascii="Calibri" w:hAnsi="Calibri" w:cs="Calibri"/>
          <w:color w:val="000000"/>
          <w:sz w:val="22"/>
          <w:szCs w:val="22"/>
        </w:rPr>
        <w:t>Scroll down the page to l</w:t>
      </w:r>
      <w:r w:rsidR="00974C23" w:rsidRPr="00131BE6">
        <w:rPr>
          <w:rFonts w:ascii="Calibri" w:hAnsi="Calibri" w:cs="Calibri"/>
          <w:color w:val="000000"/>
          <w:sz w:val="22"/>
          <w:szCs w:val="22"/>
        </w:rPr>
        <w:t xml:space="preserve">ocate the </w:t>
      </w:r>
      <w:r w:rsidR="00DE20AF" w:rsidRPr="00131BE6">
        <w:rPr>
          <w:rFonts w:ascii="Calibri" w:hAnsi="Calibri" w:cs="Calibri"/>
          <w:color w:val="000000"/>
          <w:sz w:val="22"/>
          <w:szCs w:val="22"/>
        </w:rPr>
        <w:t xml:space="preserve">Improvement in Medical Practice </w:t>
      </w:r>
      <w:r>
        <w:rPr>
          <w:rFonts w:ascii="Calibri" w:hAnsi="Calibri" w:cs="Calibri"/>
          <w:color w:val="000000"/>
          <w:sz w:val="22"/>
          <w:szCs w:val="22"/>
        </w:rPr>
        <w:t>section</w:t>
      </w:r>
      <w:r w:rsidRPr="00131B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20AF" w:rsidRPr="00131BE6">
        <w:rPr>
          <w:rFonts w:ascii="Calibri" w:hAnsi="Calibri" w:cs="Calibri"/>
          <w:color w:val="000000"/>
          <w:sz w:val="22"/>
          <w:szCs w:val="22"/>
        </w:rPr>
        <w:t xml:space="preserve">and select </w:t>
      </w:r>
      <w:r>
        <w:rPr>
          <w:rFonts w:ascii="Calibri" w:hAnsi="Calibri" w:cs="Calibri"/>
          <w:color w:val="000000"/>
          <w:sz w:val="22"/>
          <w:szCs w:val="22"/>
        </w:rPr>
        <w:t>the “</w:t>
      </w:r>
      <w:r w:rsidR="00DE20AF" w:rsidRPr="00131BE6">
        <w:rPr>
          <w:rFonts w:ascii="Calibri" w:hAnsi="Calibri" w:cs="Calibri"/>
          <w:b/>
          <w:bCs/>
          <w:color w:val="000000"/>
          <w:sz w:val="22"/>
          <w:szCs w:val="22"/>
        </w:rPr>
        <w:t>Choose an AAO Course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” tile</w:t>
      </w:r>
      <w:r w:rsidR="00DE20AF" w:rsidRPr="00131BE6">
        <w:rPr>
          <w:rFonts w:ascii="Calibri" w:hAnsi="Calibri" w:cs="Calibri"/>
          <w:color w:val="000000"/>
          <w:sz w:val="22"/>
          <w:szCs w:val="22"/>
        </w:rPr>
        <w:t>:</w:t>
      </w:r>
    </w:p>
    <w:bookmarkEnd w:id="0"/>
    <w:p w14:paraId="5E3940ED" w14:textId="557CA4D4" w:rsidR="00DE20AF" w:rsidRPr="00131BE6" w:rsidRDefault="00DE20AF" w:rsidP="00756C6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9CC45F7" w14:textId="00AC45F9" w:rsidR="00DE20AF" w:rsidRPr="00131BE6" w:rsidRDefault="00DE20AF" w:rsidP="00CD4B6F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131BE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C0521BE" wp14:editId="323870DC">
            <wp:extent cx="3457575" cy="15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144" t="21239" r="20415" b="28313"/>
                    <a:stretch/>
                  </pic:blipFill>
                  <pic:spPr bwMode="auto">
                    <a:xfrm>
                      <a:off x="0" y="0"/>
                      <a:ext cx="3457575" cy="15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414C6" w14:textId="10BA4DE6" w:rsidR="00EE0C4E" w:rsidRPr="00131BE6" w:rsidRDefault="00A40DAC">
      <w:pPr>
        <w:rPr>
          <w:rFonts w:ascii="Calibri" w:hAnsi="Calibri" w:cs="Calibri"/>
          <w:sz w:val="22"/>
          <w:szCs w:val="22"/>
        </w:rPr>
      </w:pPr>
    </w:p>
    <w:p w14:paraId="564B1DBC" w14:textId="44EF18B5" w:rsidR="00756C68" w:rsidRPr="00131BE6" w:rsidRDefault="00A5547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</w:t>
      </w:r>
      <w:r w:rsidR="00CD69DC" w:rsidRPr="00131B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will be </w:t>
      </w:r>
      <w:r w:rsidR="00450D78" w:rsidRPr="00131BE6">
        <w:rPr>
          <w:rFonts w:ascii="Calibri" w:hAnsi="Calibri" w:cs="Calibri"/>
          <w:sz w:val="22"/>
          <w:szCs w:val="22"/>
        </w:rPr>
        <w:t xml:space="preserve">directed to the </w:t>
      </w:r>
      <w:r w:rsidR="005C5A16" w:rsidRPr="00131BE6">
        <w:rPr>
          <w:rFonts w:ascii="Calibri" w:hAnsi="Calibri" w:cs="Calibri"/>
          <w:sz w:val="22"/>
          <w:szCs w:val="22"/>
        </w:rPr>
        <w:t xml:space="preserve">activity menu </w:t>
      </w:r>
      <w:r>
        <w:rPr>
          <w:rFonts w:ascii="Calibri" w:hAnsi="Calibri" w:cs="Calibri"/>
          <w:sz w:val="22"/>
          <w:szCs w:val="22"/>
        </w:rPr>
        <w:t xml:space="preserve">from which </w:t>
      </w:r>
      <w:r w:rsidR="005C5A16" w:rsidRPr="00131BE6">
        <w:rPr>
          <w:rFonts w:ascii="Calibri" w:hAnsi="Calibri" w:cs="Calibri"/>
          <w:sz w:val="22"/>
          <w:szCs w:val="22"/>
        </w:rPr>
        <w:t xml:space="preserve">one of the </w:t>
      </w:r>
      <w:r w:rsidR="00F37315">
        <w:rPr>
          <w:rFonts w:ascii="Calibri" w:hAnsi="Calibri" w:cs="Calibri"/>
          <w:sz w:val="22"/>
          <w:szCs w:val="22"/>
        </w:rPr>
        <w:t>eleven</w:t>
      </w:r>
      <w:r w:rsidR="005C5A16" w:rsidRPr="00131BE6">
        <w:rPr>
          <w:rFonts w:ascii="Calibri" w:hAnsi="Calibri" w:cs="Calibri"/>
          <w:sz w:val="22"/>
          <w:szCs w:val="22"/>
        </w:rPr>
        <w:t xml:space="preserve"> options</w:t>
      </w:r>
      <w:r>
        <w:rPr>
          <w:rFonts w:ascii="Calibri" w:hAnsi="Calibri" w:cs="Calibri"/>
          <w:sz w:val="22"/>
          <w:szCs w:val="22"/>
        </w:rPr>
        <w:t xml:space="preserve"> may be chosen</w:t>
      </w:r>
      <w:r w:rsidR="005C5A16" w:rsidRPr="00131BE6">
        <w:rPr>
          <w:rFonts w:ascii="Calibri" w:hAnsi="Calibri" w:cs="Calibri"/>
          <w:sz w:val="22"/>
          <w:szCs w:val="22"/>
        </w:rPr>
        <w:t>:</w:t>
      </w:r>
      <w:r w:rsidR="00450D78" w:rsidRPr="00131BE6">
        <w:rPr>
          <w:rFonts w:ascii="Calibri" w:hAnsi="Calibri" w:cs="Calibri"/>
          <w:sz w:val="22"/>
          <w:szCs w:val="22"/>
        </w:rPr>
        <w:t xml:space="preserve">  </w:t>
      </w:r>
    </w:p>
    <w:p w14:paraId="6B866CFE" w14:textId="77777777" w:rsidR="00756C68" w:rsidRPr="00131BE6" w:rsidRDefault="00756C68" w:rsidP="00756C68">
      <w:pPr>
        <w:rPr>
          <w:rFonts w:ascii="Calibri" w:hAnsi="Calibri" w:cs="Calibri"/>
          <w:sz w:val="22"/>
          <w:szCs w:val="22"/>
        </w:rPr>
      </w:pPr>
    </w:p>
    <w:p w14:paraId="1E9588DD" w14:textId="78723E21" w:rsidR="005C5A16" w:rsidRPr="00131BE6" w:rsidRDefault="00A40DAC" w:rsidP="00E81E85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0" w:tgtFrame="_blank" w:history="1">
        <w:r w:rsidR="005C5A16" w:rsidRPr="00131BE6">
          <w:rPr>
            <w:rStyle w:val="Hyperlink"/>
            <w:rFonts w:ascii="Calibri" w:hAnsi="Calibri" w:cs="Calibri"/>
            <w:sz w:val="22"/>
            <w:szCs w:val="22"/>
          </w:rPr>
          <w:t>Building Best Practices for Informed Consent</w:t>
        </w:r>
      </w:hyperlink>
    </w:p>
    <w:p w14:paraId="69B05ACD" w14:textId="77777777" w:rsidR="005C5A16" w:rsidRPr="00131BE6" w:rsidRDefault="00A40DAC" w:rsidP="00E81E85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1" w:tgtFrame="_blank" w:history="1">
        <w:r w:rsidR="005C5A16" w:rsidRPr="00131BE6">
          <w:rPr>
            <w:rStyle w:val="Hyperlink"/>
            <w:rFonts w:ascii="Calibri" w:hAnsi="Calibri" w:cs="Calibri"/>
            <w:sz w:val="22"/>
            <w:szCs w:val="22"/>
          </w:rPr>
          <w:t>Choosing Wisely: Leading Patients to Recommended Care</w:t>
        </w:r>
      </w:hyperlink>
    </w:p>
    <w:p w14:paraId="7F042A6B" w14:textId="32763F15" w:rsidR="0069646E" w:rsidRPr="0069646E" w:rsidRDefault="00A40DAC" w:rsidP="0069646E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2" w:history="1">
        <w:r w:rsidR="00D3528B">
          <w:rPr>
            <w:rStyle w:val="Hyperlink"/>
            <w:rFonts w:ascii="Calibri" w:hAnsi="Calibri"/>
            <w:sz w:val="22"/>
            <w:szCs w:val="22"/>
          </w:rPr>
          <w:t>Anisometropic Amblyopia</w:t>
        </w:r>
      </w:hyperlink>
      <w:r w:rsidR="00D3528B">
        <w:rPr>
          <w:rFonts w:ascii="Calibri" w:hAnsi="Calibri"/>
          <w:sz w:val="22"/>
          <w:szCs w:val="22"/>
        </w:rPr>
        <w:t xml:space="preserve"> </w:t>
      </w:r>
    </w:p>
    <w:p w14:paraId="66643338" w14:textId="1EC450EA" w:rsidR="0069646E" w:rsidRPr="0069646E" w:rsidRDefault="00A40DAC" w:rsidP="0069646E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3" w:history="1">
        <w:r w:rsidR="0069646E">
          <w:rPr>
            <w:rStyle w:val="Hyperlink"/>
            <w:rFonts w:ascii="Calibri" w:hAnsi="Calibri"/>
            <w:sz w:val="22"/>
            <w:szCs w:val="22"/>
          </w:rPr>
          <w:t>Anti-VEGF Therapy in Patients with Neovascular AMD</w:t>
        </w:r>
      </w:hyperlink>
    </w:p>
    <w:p w14:paraId="30104D1C" w14:textId="17F4519C" w:rsidR="0069646E" w:rsidRPr="0069646E" w:rsidRDefault="00A40DAC" w:rsidP="0069646E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4" w:history="1">
        <w:r w:rsidR="0069646E">
          <w:rPr>
            <w:rStyle w:val="Hyperlink"/>
            <w:rFonts w:ascii="Calibri" w:hAnsi="Calibri"/>
            <w:bCs/>
            <w:sz w:val="22"/>
            <w:szCs w:val="22"/>
          </w:rPr>
          <w:t>Assessing Risk of Glaucoma Progression</w:t>
        </w:r>
      </w:hyperlink>
      <w:r w:rsidR="0069646E">
        <w:rPr>
          <w:rFonts w:ascii="Calibri" w:hAnsi="Calibri"/>
          <w:bCs/>
          <w:sz w:val="22"/>
          <w:szCs w:val="22"/>
        </w:rPr>
        <w:t xml:space="preserve"> </w:t>
      </w:r>
    </w:p>
    <w:p w14:paraId="2C9B8494" w14:textId="66EAF9E9" w:rsidR="0069646E" w:rsidRPr="0069646E" w:rsidRDefault="00A40DAC" w:rsidP="0069646E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5" w:history="1">
        <w:r w:rsidR="00C7077C">
          <w:rPr>
            <w:rStyle w:val="Hyperlink"/>
            <w:rFonts w:ascii="Calibri" w:hAnsi="Calibri" w:cs="Calibri"/>
            <w:sz w:val="22"/>
            <w:szCs w:val="22"/>
          </w:rPr>
          <w:t>Improving Outcomes in Cataract Surgery: Targeting Best Corrected Visual Acuity</w:t>
        </w:r>
      </w:hyperlink>
      <w:r w:rsidR="00D3528B">
        <w:rPr>
          <w:rFonts w:ascii="Calibri" w:hAnsi="Calibri" w:cs="Calibri"/>
          <w:sz w:val="22"/>
          <w:szCs w:val="22"/>
        </w:rPr>
        <w:t xml:space="preserve"> </w:t>
      </w:r>
    </w:p>
    <w:p w14:paraId="7BBE4341" w14:textId="496876C7" w:rsidR="0069646E" w:rsidRPr="00C7077C" w:rsidRDefault="00A40DAC" w:rsidP="00C7077C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6" w:history="1">
        <w:r w:rsidR="00C7077C" w:rsidRPr="00C7077C">
          <w:rPr>
            <w:rStyle w:val="Hyperlink"/>
            <w:rFonts w:ascii="Calibri" w:hAnsi="Calibri" w:cs="Calibri"/>
            <w:sz w:val="22"/>
            <w:szCs w:val="22"/>
          </w:rPr>
          <w:t>Improving Outcomes in Cataract Surgery: Targeting Uncorrected Visual Acuity</w:t>
        </w:r>
      </w:hyperlink>
      <w:r w:rsidR="00D3528B" w:rsidRPr="00C7077C">
        <w:rPr>
          <w:rFonts w:ascii="Calibri" w:hAnsi="Calibri" w:cs="Calibri"/>
          <w:sz w:val="22"/>
          <w:szCs w:val="22"/>
        </w:rPr>
        <w:t xml:space="preserve"> </w:t>
      </w:r>
    </w:p>
    <w:p w14:paraId="6E8D30B9" w14:textId="7DA6AB0B" w:rsidR="0069646E" w:rsidRPr="0069646E" w:rsidRDefault="00A40DAC" w:rsidP="0069646E">
      <w:pPr>
        <w:pStyle w:val="ListParagraph"/>
        <w:numPr>
          <w:ilvl w:val="0"/>
          <w:numId w:val="3"/>
        </w:numPr>
        <w:spacing w:after="105"/>
        <w:rPr>
          <w:rStyle w:val="Hyperlink"/>
          <w:rFonts w:ascii="Calibri" w:hAnsi="Calibri" w:cs="Calibri"/>
          <w:sz w:val="22"/>
          <w:szCs w:val="22"/>
          <w:u w:val="none"/>
        </w:rPr>
      </w:pPr>
      <w:hyperlink r:id="rId17" w:history="1">
        <w:r w:rsidR="00C7077C">
          <w:rPr>
            <w:rStyle w:val="Hyperlink"/>
            <w:rFonts w:ascii="Calibri" w:hAnsi="Calibri" w:cs="Calibri"/>
            <w:spacing w:val="-8"/>
            <w:sz w:val="22"/>
            <w:szCs w:val="22"/>
          </w:rPr>
          <w:t>Improving Vision after Retinal Detachment Repair</w:t>
        </w:r>
      </w:hyperlink>
      <w:r w:rsidR="00D3528B">
        <w:rPr>
          <w:rStyle w:val="Hyperlink"/>
          <w:rFonts w:ascii="Calibri" w:hAnsi="Calibri" w:cs="Calibri"/>
          <w:color w:val="auto"/>
          <w:spacing w:val="-8"/>
          <w:sz w:val="22"/>
          <w:szCs w:val="22"/>
          <w:u w:val="none"/>
        </w:rPr>
        <w:t xml:space="preserve"> </w:t>
      </w:r>
    </w:p>
    <w:p w14:paraId="5BDF6761" w14:textId="0D79CD7F" w:rsidR="0069646E" w:rsidRPr="0069646E" w:rsidRDefault="00A40DAC" w:rsidP="0069646E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8" w:history="1">
        <w:r w:rsidR="00C7077C">
          <w:rPr>
            <w:rStyle w:val="Hyperlink"/>
            <w:rFonts w:ascii="Calibri" w:hAnsi="Calibri"/>
            <w:bCs/>
            <w:sz w:val="22"/>
            <w:szCs w:val="22"/>
          </w:rPr>
          <w:t>Laser and Injection Therapy in Patients with DME</w:t>
        </w:r>
      </w:hyperlink>
      <w:r w:rsidR="00D3528B">
        <w:rPr>
          <w:rFonts w:ascii="Calibri" w:hAnsi="Calibri"/>
          <w:bCs/>
          <w:sz w:val="22"/>
          <w:szCs w:val="22"/>
        </w:rPr>
        <w:t xml:space="preserve"> </w:t>
      </w:r>
    </w:p>
    <w:p w14:paraId="6F8C4269" w14:textId="4A101B39" w:rsidR="0069646E" w:rsidRPr="0069646E" w:rsidRDefault="00A40DAC" w:rsidP="0069646E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19" w:history="1">
        <w:r w:rsidR="00C7077C">
          <w:rPr>
            <w:rStyle w:val="Hyperlink"/>
            <w:rFonts w:ascii="Calibri" w:hAnsi="Calibri"/>
            <w:bCs/>
            <w:sz w:val="22"/>
            <w:szCs w:val="22"/>
          </w:rPr>
          <w:t>Treatment of Uveitic Macular Edema</w:t>
        </w:r>
      </w:hyperlink>
      <w:r w:rsidR="00D3528B">
        <w:rPr>
          <w:rFonts w:ascii="Calibri" w:hAnsi="Calibri"/>
          <w:bCs/>
          <w:sz w:val="22"/>
          <w:szCs w:val="22"/>
        </w:rPr>
        <w:t xml:space="preserve"> </w:t>
      </w:r>
    </w:p>
    <w:p w14:paraId="16AB2D57" w14:textId="5DA77F07" w:rsidR="0069646E" w:rsidRPr="0069646E" w:rsidRDefault="00A40DAC" w:rsidP="0069646E">
      <w:pPr>
        <w:pStyle w:val="ListParagraph"/>
        <w:numPr>
          <w:ilvl w:val="0"/>
          <w:numId w:val="3"/>
        </w:numPr>
        <w:spacing w:after="105"/>
        <w:rPr>
          <w:rFonts w:ascii="Calibri" w:hAnsi="Calibri" w:cs="Calibri"/>
          <w:color w:val="0000FF"/>
          <w:sz w:val="22"/>
          <w:szCs w:val="22"/>
        </w:rPr>
      </w:pPr>
      <w:hyperlink r:id="rId20" w:history="1">
        <w:r w:rsidR="00C7077C">
          <w:rPr>
            <w:rStyle w:val="Hyperlink"/>
            <w:rFonts w:ascii="Calibri" w:hAnsi="Calibri"/>
            <w:bCs/>
            <w:sz w:val="22"/>
            <w:szCs w:val="22"/>
          </w:rPr>
          <w:t>When to Change Glaucoma Therapy and Why Patients Might Fail</w:t>
        </w:r>
      </w:hyperlink>
      <w:r w:rsidR="00D3528B">
        <w:rPr>
          <w:rFonts w:ascii="Calibri" w:hAnsi="Calibri"/>
          <w:bCs/>
          <w:sz w:val="22"/>
          <w:szCs w:val="22"/>
        </w:rPr>
        <w:t xml:space="preserve"> </w:t>
      </w:r>
    </w:p>
    <w:p w14:paraId="230EA535" w14:textId="1D63EDA0" w:rsidR="00AD1520" w:rsidRPr="00131BE6" w:rsidRDefault="00AD1520" w:rsidP="00CD4B6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93FA8AC" w14:textId="659D3377" w:rsidR="0095775C" w:rsidRPr="00CB5D81" w:rsidRDefault="00E81E85" w:rsidP="00E81E85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CB5D81">
        <w:rPr>
          <w:rFonts w:ascii="Calibri" w:hAnsi="Calibri" w:cs="Calibri"/>
          <w:sz w:val="22"/>
          <w:szCs w:val="22"/>
        </w:rPr>
        <w:t xml:space="preserve">Completing </w:t>
      </w:r>
      <w:r w:rsidR="0085674F" w:rsidRPr="00CB5D81">
        <w:rPr>
          <w:rFonts w:ascii="Calibri" w:hAnsi="Calibri" w:cs="Calibri"/>
          <w:sz w:val="22"/>
          <w:szCs w:val="22"/>
        </w:rPr>
        <w:t>any</w:t>
      </w:r>
      <w:r w:rsidRPr="00CB5D81">
        <w:rPr>
          <w:rFonts w:ascii="Calibri" w:hAnsi="Calibri" w:cs="Calibri"/>
          <w:sz w:val="22"/>
          <w:szCs w:val="22"/>
        </w:rPr>
        <w:t xml:space="preserve"> of these </w:t>
      </w:r>
      <w:r w:rsidR="00FD1851">
        <w:rPr>
          <w:rFonts w:ascii="Calibri" w:hAnsi="Calibri" w:cs="Calibri"/>
          <w:sz w:val="22"/>
          <w:szCs w:val="22"/>
        </w:rPr>
        <w:t xml:space="preserve">Academy </w:t>
      </w:r>
      <w:r w:rsidRPr="00CB5D81">
        <w:rPr>
          <w:rFonts w:ascii="Calibri" w:hAnsi="Calibri" w:cs="Calibri"/>
          <w:sz w:val="22"/>
          <w:szCs w:val="22"/>
        </w:rPr>
        <w:t xml:space="preserve">activities will satisfy the MOC requirement and provide you the ability to claim CME. </w:t>
      </w:r>
      <w:r w:rsidR="00CB5D81" w:rsidRPr="00CB5D81">
        <w:rPr>
          <w:rFonts w:ascii="Calibri" w:hAnsi="Calibri" w:cs="Calibri"/>
          <w:sz w:val="22"/>
          <w:szCs w:val="22"/>
        </w:rPr>
        <w:t xml:space="preserve"> </w:t>
      </w:r>
      <w:r w:rsidR="00CB5D81">
        <w:rPr>
          <w:rFonts w:ascii="Calibri" w:hAnsi="Calibri" w:cs="Calibri"/>
          <w:sz w:val="22"/>
          <w:szCs w:val="22"/>
        </w:rPr>
        <w:t xml:space="preserve">Claiming CME is </w:t>
      </w:r>
      <w:r w:rsidR="00CB5D81" w:rsidRPr="00CB5D81">
        <w:rPr>
          <w:rFonts w:ascii="Calibri" w:hAnsi="Calibri" w:cs="Calibri"/>
          <w:sz w:val="22"/>
          <w:szCs w:val="22"/>
        </w:rPr>
        <w:t xml:space="preserve">necessary </w:t>
      </w:r>
      <w:r w:rsidR="00CB5D81">
        <w:rPr>
          <w:rFonts w:ascii="Calibri" w:hAnsi="Calibri" w:cs="Calibri"/>
          <w:sz w:val="22"/>
          <w:szCs w:val="22"/>
        </w:rPr>
        <w:t>f</w:t>
      </w:r>
      <w:r w:rsidR="00CB5D81" w:rsidRPr="00CB5D81">
        <w:rPr>
          <w:rFonts w:ascii="Calibri" w:hAnsi="Calibri" w:cs="Calibri"/>
          <w:sz w:val="22"/>
          <w:szCs w:val="22"/>
        </w:rPr>
        <w:t xml:space="preserve">or </w:t>
      </w:r>
      <w:r w:rsidR="00CB5D81">
        <w:rPr>
          <w:rFonts w:ascii="Calibri" w:hAnsi="Calibri" w:cs="Calibri"/>
          <w:sz w:val="22"/>
          <w:szCs w:val="22"/>
        </w:rPr>
        <w:t xml:space="preserve">the </w:t>
      </w:r>
      <w:r w:rsidR="00CB5D81" w:rsidRPr="00CB5D81">
        <w:rPr>
          <w:rFonts w:ascii="Calibri" w:hAnsi="Calibri" w:cs="Calibri"/>
          <w:sz w:val="22"/>
          <w:szCs w:val="22"/>
        </w:rPr>
        <w:t xml:space="preserve">activity completion to be registered.  </w:t>
      </w:r>
      <w:r w:rsidRPr="00CB5D81">
        <w:rPr>
          <w:rFonts w:ascii="Calibri" w:hAnsi="Calibri" w:cs="Calibri"/>
          <w:sz w:val="22"/>
          <w:szCs w:val="22"/>
        </w:rPr>
        <w:t>If you are an A</w:t>
      </w:r>
      <w:r w:rsidR="00FD1851">
        <w:rPr>
          <w:rFonts w:ascii="Calibri" w:hAnsi="Calibri" w:cs="Calibri"/>
          <w:sz w:val="22"/>
          <w:szCs w:val="22"/>
        </w:rPr>
        <w:t xml:space="preserve">cademy </w:t>
      </w:r>
      <w:r w:rsidRPr="00CB5D81">
        <w:rPr>
          <w:rFonts w:ascii="Calibri" w:hAnsi="Calibri" w:cs="Calibri"/>
          <w:sz w:val="22"/>
          <w:szCs w:val="22"/>
        </w:rPr>
        <w:t xml:space="preserve">member, access to these activities is included in the price of your </w:t>
      </w:r>
      <w:r w:rsidR="00083C54" w:rsidRPr="00CB5D81">
        <w:rPr>
          <w:rFonts w:ascii="Calibri" w:hAnsi="Calibri" w:cs="Calibri"/>
          <w:sz w:val="22"/>
          <w:szCs w:val="22"/>
        </w:rPr>
        <w:t>annual dues</w:t>
      </w:r>
      <w:r w:rsidRPr="00CB5D81">
        <w:rPr>
          <w:rFonts w:ascii="Calibri" w:hAnsi="Calibri" w:cs="Calibri"/>
          <w:sz w:val="22"/>
          <w:szCs w:val="22"/>
        </w:rPr>
        <w:t xml:space="preserve">. </w:t>
      </w:r>
      <w:r w:rsidRPr="00CB5D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2363" w:rsidRPr="00CB5D81">
        <w:rPr>
          <w:rFonts w:ascii="Calibri" w:hAnsi="Calibri" w:cs="Calibri"/>
          <w:sz w:val="22"/>
          <w:szCs w:val="22"/>
        </w:rPr>
        <w:t>There is no need for you to provide proof of p</w:t>
      </w:r>
      <w:r w:rsidR="00CD4B6F" w:rsidRPr="00CB5D81">
        <w:rPr>
          <w:rFonts w:ascii="Calibri" w:hAnsi="Calibri" w:cs="Calibri"/>
          <w:sz w:val="22"/>
          <w:szCs w:val="22"/>
        </w:rPr>
        <w:t>articipation</w:t>
      </w:r>
      <w:r w:rsidR="00083C54" w:rsidRPr="00CB5D81">
        <w:rPr>
          <w:rFonts w:ascii="Calibri" w:hAnsi="Calibri" w:cs="Calibri"/>
          <w:sz w:val="22"/>
          <w:szCs w:val="22"/>
        </w:rPr>
        <w:t>, as completion</w:t>
      </w:r>
      <w:r w:rsidR="009F2363" w:rsidRPr="00CB5D81">
        <w:rPr>
          <w:rFonts w:ascii="Calibri" w:hAnsi="Calibri" w:cs="Calibri"/>
          <w:sz w:val="22"/>
          <w:szCs w:val="22"/>
        </w:rPr>
        <w:t xml:space="preserve"> </w:t>
      </w:r>
      <w:r w:rsidR="00CD4B6F" w:rsidRPr="00CB5D81">
        <w:rPr>
          <w:rFonts w:ascii="Calibri" w:hAnsi="Calibri" w:cs="Calibri"/>
          <w:sz w:val="22"/>
          <w:szCs w:val="22"/>
        </w:rPr>
        <w:t>results are forwarded</w:t>
      </w:r>
      <w:r w:rsidR="009F2363" w:rsidRPr="00CB5D81">
        <w:rPr>
          <w:rFonts w:ascii="Calibri" w:hAnsi="Calibri" w:cs="Calibri"/>
          <w:sz w:val="22"/>
          <w:szCs w:val="22"/>
        </w:rPr>
        <w:t xml:space="preserve"> by the </w:t>
      </w:r>
      <w:r w:rsidR="00FD1851">
        <w:rPr>
          <w:rFonts w:ascii="Calibri" w:hAnsi="Calibri" w:cs="Calibri"/>
          <w:sz w:val="22"/>
          <w:szCs w:val="22"/>
        </w:rPr>
        <w:t xml:space="preserve">American </w:t>
      </w:r>
      <w:r w:rsidR="006A3BAA" w:rsidRPr="00CB5D81">
        <w:rPr>
          <w:rFonts w:ascii="Calibri" w:hAnsi="Calibri" w:cs="Calibri"/>
          <w:sz w:val="22"/>
          <w:szCs w:val="22"/>
        </w:rPr>
        <w:t>A</w:t>
      </w:r>
      <w:r w:rsidR="00FD1851">
        <w:rPr>
          <w:rFonts w:ascii="Calibri" w:hAnsi="Calibri" w:cs="Calibri"/>
          <w:sz w:val="22"/>
          <w:szCs w:val="22"/>
        </w:rPr>
        <w:t xml:space="preserve">cademy of Ophthalmology to the American Board of Ophthalmology </w:t>
      </w:r>
      <w:r w:rsidR="009F2363" w:rsidRPr="00CB5D81">
        <w:rPr>
          <w:rFonts w:ascii="Calibri" w:hAnsi="Calibri" w:cs="Calibri"/>
          <w:sz w:val="22"/>
          <w:szCs w:val="22"/>
        </w:rPr>
        <w:t xml:space="preserve">each week.  </w:t>
      </w:r>
      <w:r w:rsidR="00D761A0" w:rsidRPr="00CB5D81">
        <w:rPr>
          <w:rFonts w:ascii="Calibri" w:hAnsi="Calibri" w:cs="Calibri"/>
          <w:sz w:val="22"/>
          <w:szCs w:val="22"/>
        </w:rPr>
        <w:t xml:space="preserve"> </w:t>
      </w:r>
      <w:r w:rsidR="00886DFB">
        <w:rPr>
          <w:rFonts w:ascii="Calibri" w:hAnsi="Calibri" w:cs="Calibri"/>
          <w:sz w:val="22"/>
          <w:szCs w:val="22"/>
        </w:rPr>
        <w:t>Your</w:t>
      </w:r>
      <w:r w:rsidR="00C7077C">
        <w:rPr>
          <w:rFonts w:ascii="Calibri" w:hAnsi="Calibri" w:cs="Calibri"/>
          <w:sz w:val="22"/>
          <w:szCs w:val="22"/>
        </w:rPr>
        <w:t xml:space="preserve"> </w:t>
      </w:r>
      <w:r w:rsidR="00886DFB">
        <w:rPr>
          <w:rFonts w:ascii="Calibri" w:hAnsi="Calibri" w:cs="Calibri"/>
          <w:sz w:val="22"/>
          <w:szCs w:val="22"/>
        </w:rPr>
        <w:t xml:space="preserve">diplomate </w:t>
      </w:r>
      <w:r w:rsidR="00C7077C">
        <w:rPr>
          <w:rFonts w:ascii="Calibri" w:hAnsi="Calibri" w:cs="Calibri"/>
          <w:sz w:val="22"/>
          <w:szCs w:val="22"/>
        </w:rPr>
        <w:t xml:space="preserve">status page is </w:t>
      </w:r>
      <w:r w:rsidR="00D649F8" w:rsidRPr="00CB5D81">
        <w:rPr>
          <w:rFonts w:ascii="Calibri" w:hAnsi="Calibri" w:cs="Calibri"/>
          <w:sz w:val="22"/>
          <w:szCs w:val="22"/>
        </w:rPr>
        <w:t>updated,</w:t>
      </w:r>
      <w:r w:rsidR="00D761A0" w:rsidRPr="00CB5D81">
        <w:rPr>
          <w:rFonts w:ascii="Calibri" w:hAnsi="Calibri" w:cs="Calibri"/>
          <w:sz w:val="22"/>
          <w:szCs w:val="22"/>
        </w:rPr>
        <w:t xml:space="preserve"> </w:t>
      </w:r>
      <w:r w:rsidR="00C7077C">
        <w:rPr>
          <w:rFonts w:ascii="Calibri" w:hAnsi="Calibri" w:cs="Calibri"/>
          <w:sz w:val="22"/>
          <w:szCs w:val="22"/>
        </w:rPr>
        <w:t xml:space="preserve">and a confirmation email is sent advising </w:t>
      </w:r>
      <w:r w:rsidR="00886DFB">
        <w:rPr>
          <w:rFonts w:ascii="Calibri" w:hAnsi="Calibri" w:cs="Calibri"/>
          <w:sz w:val="22"/>
          <w:szCs w:val="22"/>
        </w:rPr>
        <w:t xml:space="preserve">you </w:t>
      </w:r>
      <w:r w:rsidR="00D649F8">
        <w:rPr>
          <w:rFonts w:ascii="Calibri" w:hAnsi="Calibri" w:cs="Calibri"/>
          <w:sz w:val="22"/>
          <w:szCs w:val="22"/>
        </w:rPr>
        <w:t xml:space="preserve">the </w:t>
      </w:r>
      <w:r w:rsidR="00D761A0" w:rsidRPr="00CB5D81">
        <w:rPr>
          <w:rFonts w:ascii="Calibri" w:hAnsi="Calibri" w:cs="Calibri"/>
          <w:sz w:val="22"/>
          <w:szCs w:val="22"/>
        </w:rPr>
        <w:t xml:space="preserve">Improvement in Medical Practice </w:t>
      </w:r>
      <w:r w:rsidR="009F2363" w:rsidRPr="00CB5D81">
        <w:rPr>
          <w:rFonts w:ascii="Calibri" w:hAnsi="Calibri" w:cs="Calibri"/>
          <w:sz w:val="22"/>
          <w:szCs w:val="22"/>
        </w:rPr>
        <w:t>requirement</w:t>
      </w:r>
      <w:r w:rsidR="00D649F8">
        <w:rPr>
          <w:rFonts w:ascii="Calibri" w:hAnsi="Calibri" w:cs="Calibri"/>
          <w:sz w:val="22"/>
          <w:szCs w:val="22"/>
        </w:rPr>
        <w:t xml:space="preserve"> has been completed</w:t>
      </w:r>
      <w:r w:rsidR="009F2363" w:rsidRPr="00CB5D81">
        <w:rPr>
          <w:rFonts w:ascii="Calibri" w:hAnsi="Calibri" w:cs="Calibri"/>
          <w:sz w:val="22"/>
          <w:szCs w:val="22"/>
        </w:rPr>
        <w:t>.</w:t>
      </w:r>
      <w:r w:rsidR="00CD69DC" w:rsidRPr="00CB5D81">
        <w:rPr>
          <w:rFonts w:ascii="Calibri" w:hAnsi="Calibri" w:cs="Calibri"/>
          <w:sz w:val="22"/>
          <w:szCs w:val="22"/>
        </w:rPr>
        <w:t xml:space="preserve"> </w:t>
      </w:r>
      <w:r w:rsidR="00CD4B6F" w:rsidRPr="00CB5D81">
        <w:rPr>
          <w:rFonts w:ascii="Calibri" w:hAnsi="Calibri" w:cs="Calibri"/>
          <w:sz w:val="22"/>
          <w:szCs w:val="22"/>
        </w:rPr>
        <w:t xml:space="preserve"> </w:t>
      </w:r>
    </w:p>
    <w:sectPr w:rsidR="0095775C" w:rsidRPr="00CB5D81" w:rsidSect="00E81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03375"/>
    <w:multiLevelType w:val="hybridMultilevel"/>
    <w:tmpl w:val="AD3C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907DE"/>
    <w:multiLevelType w:val="hybridMultilevel"/>
    <w:tmpl w:val="07B8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C84C65"/>
    <w:multiLevelType w:val="multilevel"/>
    <w:tmpl w:val="EC202D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68"/>
    <w:rsid w:val="0007597F"/>
    <w:rsid w:val="00083C54"/>
    <w:rsid w:val="000951A7"/>
    <w:rsid w:val="000C6C19"/>
    <w:rsid w:val="000F7438"/>
    <w:rsid w:val="00104517"/>
    <w:rsid w:val="00125D51"/>
    <w:rsid w:val="00131BE6"/>
    <w:rsid w:val="001E4F0A"/>
    <w:rsid w:val="002334E8"/>
    <w:rsid w:val="003107D6"/>
    <w:rsid w:val="00450D78"/>
    <w:rsid w:val="004C02A1"/>
    <w:rsid w:val="004F2E05"/>
    <w:rsid w:val="00512066"/>
    <w:rsid w:val="005C5A16"/>
    <w:rsid w:val="005F0252"/>
    <w:rsid w:val="0069646E"/>
    <w:rsid w:val="006A3BAA"/>
    <w:rsid w:val="006F28F0"/>
    <w:rsid w:val="00735F2E"/>
    <w:rsid w:val="00756C68"/>
    <w:rsid w:val="007F6742"/>
    <w:rsid w:val="00826E16"/>
    <w:rsid w:val="008424D6"/>
    <w:rsid w:val="00856376"/>
    <w:rsid w:val="0085674F"/>
    <w:rsid w:val="00886DFB"/>
    <w:rsid w:val="00956238"/>
    <w:rsid w:val="0095775C"/>
    <w:rsid w:val="00974C23"/>
    <w:rsid w:val="009D6A90"/>
    <w:rsid w:val="009F2363"/>
    <w:rsid w:val="00A40DAC"/>
    <w:rsid w:val="00A55473"/>
    <w:rsid w:val="00A75467"/>
    <w:rsid w:val="00AD1520"/>
    <w:rsid w:val="00B012EF"/>
    <w:rsid w:val="00B8136A"/>
    <w:rsid w:val="00BD0D71"/>
    <w:rsid w:val="00BF3613"/>
    <w:rsid w:val="00C02700"/>
    <w:rsid w:val="00C50688"/>
    <w:rsid w:val="00C66FC3"/>
    <w:rsid w:val="00C7077C"/>
    <w:rsid w:val="00C85D2D"/>
    <w:rsid w:val="00CB5D81"/>
    <w:rsid w:val="00CD4B6F"/>
    <w:rsid w:val="00CD69DC"/>
    <w:rsid w:val="00D00A0A"/>
    <w:rsid w:val="00D3528B"/>
    <w:rsid w:val="00D649F8"/>
    <w:rsid w:val="00D761A0"/>
    <w:rsid w:val="00D92B95"/>
    <w:rsid w:val="00DE20AF"/>
    <w:rsid w:val="00E65C45"/>
    <w:rsid w:val="00E81E85"/>
    <w:rsid w:val="00E91AF0"/>
    <w:rsid w:val="00EF24A4"/>
    <w:rsid w:val="00F22839"/>
    <w:rsid w:val="00F37315"/>
    <w:rsid w:val="00F57F66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6E09"/>
  <w15:docId w15:val="{05433AC1-6E13-4FEF-8632-4A09DED7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C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15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C6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C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AD1520"/>
  </w:style>
  <w:style w:type="character" w:styleId="FollowedHyperlink">
    <w:name w:val="FollowedHyperlink"/>
    <w:basedOn w:val="DefaultParagraphFont"/>
    <w:uiPriority w:val="99"/>
    <w:semiHidden/>
    <w:unhideWhenUsed/>
    <w:rsid w:val="00450D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0D7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F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E0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E0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5A16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9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p.org" TargetMode="External"/><Relationship Id="rId13" Type="http://schemas.openxmlformats.org/officeDocument/2006/relationships/hyperlink" Target="https://www.aao.org/learning-plan-detail/loss-of-vision-in-exudative-amd-in-patients-getting-injections" TargetMode="External"/><Relationship Id="rId18" Type="http://schemas.openxmlformats.org/officeDocument/2006/relationships/hyperlink" Target="https://www.aao.org/learning-plan-detail/loss-of-vision-from-diabetic-macular-edema-receiving-laser-or-injectio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ao.org/learning-plan-detail/improved-vision-after-retinal-detachment-repair" TargetMode="External"/><Relationship Id="rId12" Type="http://schemas.openxmlformats.org/officeDocument/2006/relationships/hyperlink" Target="https://www.aao.org/learning-plan-detail/anisometropic-amblyopia" TargetMode="External"/><Relationship Id="rId17" Type="http://schemas.openxmlformats.org/officeDocument/2006/relationships/hyperlink" Target="https://www.aao.org/learning-plan-detail/improved-vision-after-retinal-detachment-repai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ao.org/learning-plan-detail/uncorrected-visual-acuity" TargetMode="External"/><Relationship Id="rId20" Type="http://schemas.openxmlformats.org/officeDocument/2006/relationships/hyperlink" Target="https://www.aao.org/learning-plan-detail/when-to-change-glaucoma-therapy-why-patients-migh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o.org/learning-plan-detail/uncorrected-visual-acuity" TargetMode="External"/><Relationship Id="rId11" Type="http://schemas.openxmlformats.org/officeDocument/2006/relationships/hyperlink" Target="http://www.aao.org/pi-cme/choosing-wisely-course" TargetMode="External"/><Relationship Id="rId5" Type="http://schemas.openxmlformats.org/officeDocument/2006/relationships/hyperlink" Target="https://www.aao.org/learning-plan-detail/improving-outcomes-in-cataract-surgery-targeting-b" TargetMode="External"/><Relationship Id="rId15" Type="http://schemas.openxmlformats.org/officeDocument/2006/relationships/hyperlink" Target="https://www.aao.org/learning-plan-detail/improving-outcomes-in-cataract-surgery-targeting-b" TargetMode="External"/><Relationship Id="rId10" Type="http://schemas.openxmlformats.org/officeDocument/2006/relationships/hyperlink" Target="https://www.aao.org/pi-cme/building-best-practices-informed-consent-7" TargetMode="External"/><Relationship Id="rId19" Type="http://schemas.openxmlformats.org/officeDocument/2006/relationships/hyperlink" Target="https://www.aao.org/learning-plan-detail/treatment-of-uveitic-macular-ede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aao.org/learning-plan-detail/assessing-risk-of-glaucoma-progress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Refile</dc:creator>
  <cp:lastModifiedBy>Sheila Refile</cp:lastModifiedBy>
  <cp:revision>2</cp:revision>
  <dcterms:created xsi:type="dcterms:W3CDTF">2020-09-22T17:06:00Z</dcterms:created>
  <dcterms:modified xsi:type="dcterms:W3CDTF">2020-09-22T17:06:00Z</dcterms:modified>
</cp:coreProperties>
</file>