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43F58FBD"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67819A1" w:rsidR="00E63E58" w:rsidRPr="00C81422" w:rsidRDefault="006D2FAF" w:rsidP="00C81422">
      <w:pPr>
        <w:pStyle w:val="BodyText"/>
        <w:ind w:left="163"/>
        <w:jc w:val="center"/>
        <w:rPr>
          <w:b/>
        </w:rPr>
      </w:pP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6E14E3">
        <w:trPr>
          <w:trHeight w:hRule="exact" w:val="1000"/>
        </w:trPr>
        <w:tc>
          <w:tcPr>
            <w:tcW w:w="3673" w:type="dxa"/>
          </w:tcPr>
          <w:p w14:paraId="4D76AFB2" w14:textId="215BE935" w:rsidR="00E63E58" w:rsidRPr="009D3887" w:rsidRDefault="0047416E">
            <w:pPr>
              <w:pStyle w:val="TableParagraph"/>
              <w:spacing w:line="273" w:lineRule="exact"/>
              <w:ind w:left="51" w:right="336"/>
            </w:pPr>
            <w:r w:rsidRPr="009D3887">
              <w:rPr>
                <w:b/>
              </w:rPr>
              <w:t>Title of Project</w:t>
            </w:r>
            <w:r w:rsidR="003F6609" w:rsidRPr="009D3887">
              <w:t>:</w:t>
            </w:r>
          </w:p>
        </w:tc>
        <w:tc>
          <w:tcPr>
            <w:tcW w:w="7099" w:type="dxa"/>
            <w:vAlign w:val="center"/>
          </w:tcPr>
          <w:p w14:paraId="4D76AFB3" w14:textId="0E691F5F" w:rsidR="00E63E58" w:rsidRPr="005B1CF6" w:rsidRDefault="002F1633" w:rsidP="006E14E3">
            <w:pPr>
              <w:pStyle w:val="Heading1"/>
              <w:spacing w:after="240"/>
              <w:ind w:right="288"/>
              <w:jc w:val="center"/>
              <w:rPr>
                <w:rFonts w:asciiTheme="minorHAnsi" w:hAnsiTheme="minorHAnsi" w:cstheme="minorHAnsi"/>
                <w:color w:val="auto"/>
                <w:sz w:val="22"/>
                <w:szCs w:val="22"/>
              </w:rPr>
            </w:pPr>
            <w:bookmarkStart w:id="0" w:name="_GoBack"/>
            <w:r w:rsidRPr="0089304E">
              <w:rPr>
                <w:color w:val="auto"/>
                <w:sz w:val="22"/>
                <w:szCs w:val="22"/>
              </w:rPr>
              <w:t xml:space="preserve">Tetravisc </w:t>
            </w:r>
            <w:r w:rsidR="005B1CF6" w:rsidRPr="0089304E">
              <w:rPr>
                <w:color w:val="auto"/>
                <w:sz w:val="22"/>
                <w:szCs w:val="22"/>
              </w:rPr>
              <w:t>V</w:t>
            </w:r>
            <w:r w:rsidRPr="0089304E">
              <w:rPr>
                <w:color w:val="auto"/>
                <w:sz w:val="22"/>
                <w:szCs w:val="22"/>
              </w:rPr>
              <w:t xml:space="preserve">ersus </w:t>
            </w:r>
            <w:r w:rsidR="005B1CF6" w:rsidRPr="0089304E">
              <w:rPr>
                <w:color w:val="auto"/>
                <w:sz w:val="22"/>
                <w:szCs w:val="22"/>
              </w:rPr>
              <w:t>Lido</w:t>
            </w:r>
            <w:r w:rsidRPr="0089304E">
              <w:rPr>
                <w:color w:val="auto"/>
                <w:sz w:val="22"/>
                <w:szCs w:val="22"/>
              </w:rPr>
              <w:t xml:space="preserve">caine </w:t>
            </w:r>
            <w:r w:rsidR="005B1CF6" w:rsidRPr="0089304E">
              <w:rPr>
                <w:color w:val="auto"/>
                <w:sz w:val="22"/>
                <w:szCs w:val="22"/>
              </w:rPr>
              <w:t>P</w:t>
            </w:r>
            <w:r w:rsidRPr="0089304E">
              <w:rPr>
                <w:color w:val="auto"/>
                <w:sz w:val="22"/>
                <w:szCs w:val="22"/>
              </w:rPr>
              <w:t xml:space="preserve">ledget </w:t>
            </w:r>
            <w:r w:rsidR="00F61C7B" w:rsidRPr="0089304E">
              <w:rPr>
                <w:color w:val="auto"/>
                <w:sz w:val="22"/>
                <w:szCs w:val="22"/>
              </w:rPr>
              <w:t>for Short-Term and Intermediate-Term Pain Control After Intravitreal Injections</w:t>
            </w:r>
            <w:bookmarkEnd w:id="0"/>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C34C56">
        <w:trPr>
          <w:trHeight w:hRule="exact" w:val="11296"/>
        </w:trPr>
        <w:tc>
          <w:tcPr>
            <w:tcW w:w="3673" w:type="dxa"/>
          </w:tcPr>
          <w:p w14:paraId="4D76AFC3" w14:textId="69A23050" w:rsidR="003F6609" w:rsidRPr="009D3887" w:rsidRDefault="00900883" w:rsidP="00B67787">
            <w:pPr>
              <w:pStyle w:val="TableParagraph"/>
              <w:spacing w:line="232" w:lineRule="auto"/>
              <w:ind w:left="51" w:right="32"/>
            </w:pPr>
            <w:r w:rsidRPr="009D3887">
              <w:t>Describe the quality gap or issued addressed by this activity. (Included in your response</w:t>
            </w:r>
            <w:r w:rsidR="000F17ED" w:rsidRPr="009D3887">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22E80E2C" w14:textId="486D865D" w:rsidR="00C34C56" w:rsidRPr="00C34C56" w:rsidRDefault="00C34C56" w:rsidP="00341608">
            <w:pPr>
              <w:spacing w:before="176" w:line="280" w:lineRule="auto"/>
              <w:ind w:left="194" w:right="173"/>
              <w:rPr>
                <w:rFonts w:asciiTheme="minorHAnsi" w:hAnsiTheme="minorHAnsi" w:cstheme="minorHAnsi"/>
              </w:rPr>
            </w:pPr>
            <w:r w:rsidRPr="00C34C56">
              <w:rPr>
                <w:rFonts w:asciiTheme="minorHAnsi" w:hAnsiTheme="minorHAnsi" w:cstheme="minorHAnsi"/>
              </w:rPr>
              <w:t xml:space="preserve">Compare and contrast side effects and pain relief during injection of Tetravisc versus lidocaine pledget during the cold months. Patients already receive the injections using a variation of lidocaine pledget versus </w:t>
            </w:r>
            <w:r w:rsidR="003B4395" w:rsidRPr="00C34C56">
              <w:rPr>
                <w:rFonts w:asciiTheme="minorHAnsi" w:hAnsiTheme="minorHAnsi" w:cstheme="minorHAnsi"/>
              </w:rPr>
              <w:t>Tetravisc</w:t>
            </w:r>
            <w:r w:rsidRPr="00C34C56">
              <w:rPr>
                <w:rFonts w:asciiTheme="minorHAnsi" w:hAnsiTheme="minorHAnsi" w:cstheme="minorHAnsi"/>
              </w:rPr>
              <w:t xml:space="preserve"> drops. I hope to document a preference</w:t>
            </w:r>
            <w:r w:rsidR="00341608">
              <w:rPr>
                <w:rFonts w:asciiTheme="minorHAnsi" w:hAnsiTheme="minorHAnsi" w:cstheme="minorHAnsi"/>
              </w:rPr>
              <w:t xml:space="preserve"> </w:t>
            </w:r>
            <w:r w:rsidRPr="00C34C56">
              <w:rPr>
                <w:rFonts w:asciiTheme="minorHAnsi" w:hAnsiTheme="minorHAnsi" w:cstheme="minorHAnsi"/>
              </w:rPr>
              <w:t xml:space="preserve">for each according to each </w:t>
            </w:r>
            <w:r w:rsidR="003B4395" w:rsidRPr="00C34C56">
              <w:rPr>
                <w:rFonts w:asciiTheme="minorHAnsi" w:hAnsiTheme="minorHAnsi" w:cstheme="minorHAnsi"/>
              </w:rPr>
              <w:t>patient’s</w:t>
            </w:r>
            <w:r w:rsidRPr="00C34C56">
              <w:rPr>
                <w:rFonts w:asciiTheme="minorHAnsi" w:hAnsiTheme="minorHAnsi" w:cstheme="minorHAnsi"/>
              </w:rPr>
              <w:t xml:space="preserve"> wishes and discover statistically which method seems best to start their treatment.</w:t>
            </w:r>
          </w:p>
          <w:p w14:paraId="4D76AFC4" w14:textId="4B706659" w:rsidR="007F10D0" w:rsidRPr="009D3887" w:rsidRDefault="007F10D0" w:rsidP="00C34C56">
            <w:pPr>
              <w:pStyle w:val="TableParagraph"/>
              <w:tabs>
                <w:tab w:val="left" w:pos="342"/>
              </w:tabs>
              <w:ind w:left="86" w:right="72"/>
            </w:pPr>
          </w:p>
        </w:tc>
      </w:tr>
      <w:tr w:rsidR="00D72300" w:rsidRPr="00D77401" w14:paraId="4D76AFC8" w14:textId="77777777" w:rsidTr="000A5878">
        <w:trPr>
          <w:trHeight w:hRule="exact" w:val="12610"/>
        </w:trPr>
        <w:tc>
          <w:tcPr>
            <w:tcW w:w="3673" w:type="dxa"/>
          </w:tcPr>
          <w:p w14:paraId="51ECB95B" w14:textId="77777777" w:rsidR="0039141A" w:rsidRPr="009D3887" w:rsidRDefault="0039141A" w:rsidP="00B84012">
            <w:pPr>
              <w:pStyle w:val="TableParagraph"/>
              <w:spacing w:line="232" w:lineRule="auto"/>
              <w:ind w:right="323"/>
            </w:pPr>
            <w:r w:rsidRPr="009D3887">
              <w:rPr>
                <w:b/>
              </w:rPr>
              <w:lastRenderedPageBreak/>
              <w:t>Background Information</w:t>
            </w:r>
            <w:r w:rsidRPr="009D3887">
              <w:t xml:space="preserve">: </w:t>
            </w:r>
          </w:p>
          <w:p w14:paraId="4D76AFC6" w14:textId="5B428AFC" w:rsidR="003F6609" w:rsidRPr="009D3887" w:rsidRDefault="00803D07" w:rsidP="00B84012">
            <w:pPr>
              <w:pStyle w:val="TableParagraph"/>
              <w:spacing w:line="232" w:lineRule="auto"/>
              <w:ind w:right="323"/>
            </w:pPr>
            <w:r w:rsidRPr="009D3887">
              <w:t>The month you pulled the baseline IRIS performance report and any additional information that me be pertinent</w:t>
            </w:r>
            <w:r w:rsidR="00796CBD" w:rsidRPr="009D3887">
              <w:t>:</w:t>
            </w:r>
          </w:p>
        </w:tc>
        <w:tc>
          <w:tcPr>
            <w:tcW w:w="7099" w:type="dxa"/>
          </w:tcPr>
          <w:p w14:paraId="14052EAB" w14:textId="5C68686E" w:rsidR="000F327A" w:rsidRPr="000F327A" w:rsidRDefault="000F327A" w:rsidP="000F327A">
            <w:pPr>
              <w:spacing w:before="176" w:line="276" w:lineRule="auto"/>
              <w:ind w:left="194" w:right="146"/>
            </w:pPr>
            <w:r w:rsidRPr="000F327A">
              <w:t xml:space="preserve">Retina practices are increasingly becoming injection clinics. Twenty, thirty, </w:t>
            </w:r>
            <w:r w:rsidR="001537B8">
              <w:t xml:space="preserve">and </w:t>
            </w:r>
            <w:r w:rsidRPr="000F327A">
              <w:t>forty injections are common many days. Each patient experience pain differently during the injection and in the hours after the injection. Some physicians use a pledget soaked in 4% lidocaine while others prefer Tetravisc drops. During the cold months I have noticed that the scratchy burning pain that occurs hours later increases, presumably due to the cold dry air.</w:t>
            </w:r>
          </w:p>
          <w:p w14:paraId="4D76AFC7" w14:textId="4543239F" w:rsidR="00621655" w:rsidRPr="009D3887" w:rsidRDefault="00621655" w:rsidP="00BA529B">
            <w:pPr>
              <w:pStyle w:val="TableParagraph"/>
              <w:kinsoku w:val="0"/>
              <w:overflowPunct w:val="0"/>
              <w:ind w:left="86" w:right="72"/>
            </w:pPr>
          </w:p>
        </w:tc>
      </w:tr>
      <w:tr w:rsidR="00D72300" w:rsidRPr="00D77401" w14:paraId="4D76AFD0" w14:textId="77777777" w:rsidTr="009D3887">
        <w:trPr>
          <w:trHeight w:hRule="exact" w:val="2431"/>
        </w:trPr>
        <w:tc>
          <w:tcPr>
            <w:tcW w:w="3673" w:type="dxa"/>
          </w:tcPr>
          <w:p w14:paraId="183DC423" w14:textId="605A00A6" w:rsidR="003F6609" w:rsidRPr="009D3887" w:rsidRDefault="007F73BB" w:rsidP="00B84012">
            <w:pPr>
              <w:pStyle w:val="TableParagraph"/>
              <w:spacing w:line="232" w:lineRule="auto"/>
              <w:ind w:right="350"/>
            </w:pPr>
            <w:r w:rsidRPr="009D3887">
              <w:rPr>
                <w:b/>
              </w:rPr>
              <w:lastRenderedPageBreak/>
              <w:t>Project Setting</w:t>
            </w:r>
            <w:r w:rsidRPr="009D3887">
              <w:t xml:space="preserve">: </w:t>
            </w:r>
            <w:r w:rsidR="004B491F" w:rsidRPr="009D3887">
              <w:t>(</w:t>
            </w:r>
            <w:r w:rsidRPr="009D3887">
              <w:t>Please select from options below)</w:t>
            </w:r>
            <w:r w:rsidR="00E21581" w:rsidRPr="009D3887">
              <w:t>:</w:t>
            </w:r>
          </w:p>
          <w:p w14:paraId="1E66DABD" w14:textId="094755B2" w:rsidR="00342661" w:rsidRPr="009D3887" w:rsidRDefault="00E21581" w:rsidP="00342661">
            <w:pPr>
              <w:pStyle w:val="TableParagraph"/>
              <w:numPr>
                <w:ilvl w:val="0"/>
                <w:numId w:val="13"/>
              </w:numPr>
              <w:spacing w:line="232" w:lineRule="auto"/>
              <w:ind w:right="350"/>
            </w:pPr>
            <w:r w:rsidRPr="009D3887">
              <w:t>Group Practice</w:t>
            </w:r>
          </w:p>
          <w:p w14:paraId="313FE9C4" w14:textId="77777777" w:rsidR="00E21581" w:rsidRPr="009D3887" w:rsidRDefault="00E21581" w:rsidP="00342661">
            <w:pPr>
              <w:pStyle w:val="TableParagraph"/>
              <w:numPr>
                <w:ilvl w:val="0"/>
                <w:numId w:val="13"/>
              </w:numPr>
              <w:spacing w:line="232" w:lineRule="auto"/>
              <w:ind w:right="350"/>
            </w:pPr>
            <w:r w:rsidRPr="009D3887">
              <w:t>Healthcare Network</w:t>
            </w:r>
          </w:p>
          <w:p w14:paraId="63D6237C" w14:textId="77777777" w:rsidR="00342661" w:rsidRPr="009D3887" w:rsidRDefault="00342661" w:rsidP="00342661">
            <w:pPr>
              <w:pStyle w:val="TableParagraph"/>
              <w:numPr>
                <w:ilvl w:val="0"/>
                <w:numId w:val="13"/>
              </w:numPr>
              <w:spacing w:line="232" w:lineRule="auto"/>
              <w:ind w:right="350"/>
            </w:pPr>
            <w:r w:rsidRPr="009D3887">
              <w:t>Hospital</w:t>
            </w:r>
          </w:p>
          <w:p w14:paraId="03E43524" w14:textId="77777777" w:rsidR="00342661" w:rsidRPr="009D3887" w:rsidRDefault="00342661" w:rsidP="00342661">
            <w:pPr>
              <w:pStyle w:val="TableParagraph"/>
              <w:numPr>
                <w:ilvl w:val="0"/>
                <w:numId w:val="13"/>
              </w:numPr>
              <w:spacing w:line="232" w:lineRule="auto"/>
              <w:ind w:right="350"/>
            </w:pPr>
            <w:r w:rsidRPr="009D3887">
              <w:t>Multi-Specialty Group</w:t>
            </w:r>
          </w:p>
          <w:p w14:paraId="4C92C665" w14:textId="77777777" w:rsidR="00342661" w:rsidRPr="009D3887" w:rsidRDefault="00342661" w:rsidP="00342661">
            <w:pPr>
              <w:pStyle w:val="TableParagraph"/>
              <w:numPr>
                <w:ilvl w:val="0"/>
                <w:numId w:val="13"/>
              </w:numPr>
              <w:spacing w:line="232" w:lineRule="auto"/>
              <w:ind w:right="350"/>
            </w:pPr>
            <w:r w:rsidRPr="009D3887">
              <w:t>Solo Practice</w:t>
            </w:r>
          </w:p>
          <w:p w14:paraId="1679EC74" w14:textId="77777777" w:rsidR="00342661" w:rsidRPr="009D3887" w:rsidRDefault="00342661" w:rsidP="00342661">
            <w:pPr>
              <w:pStyle w:val="TableParagraph"/>
              <w:numPr>
                <w:ilvl w:val="0"/>
                <w:numId w:val="13"/>
              </w:numPr>
              <w:spacing w:line="232" w:lineRule="auto"/>
              <w:ind w:right="350"/>
            </w:pPr>
            <w:r w:rsidRPr="009D3887">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9D3887">
              <w:t>Other</w:t>
            </w:r>
          </w:p>
        </w:tc>
        <w:tc>
          <w:tcPr>
            <w:tcW w:w="7099" w:type="dxa"/>
          </w:tcPr>
          <w:p w14:paraId="4D76AFCF" w14:textId="36766B79" w:rsidR="007074C4" w:rsidRPr="00D77401" w:rsidRDefault="00624261" w:rsidP="00624261">
            <w:pPr>
              <w:spacing w:before="176" w:line="276" w:lineRule="auto"/>
              <w:ind w:left="194" w:right="146"/>
              <w:rPr>
                <w:sz w:val="20"/>
                <w:szCs w:val="20"/>
              </w:rPr>
            </w:pPr>
            <w:r w:rsidRPr="00624261">
              <w:t>Group Practice</w:t>
            </w:r>
          </w:p>
        </w:tc>
      </w:tr>
      <w:tr w:rsidR="00D72300" w:rsidRPr="00D77401" w14:paraId="4D76AFD3" w14:textId="77777777" w:rsidTr="009D3887">
        <w:trPr>
          <w:trHeight w:hRule="exact" w:val="1981"/>
        </w:trPr>
        <w:tc>
          <w:tcPr>
            <w:tcW w:w="3673" w:type="dxa"/>
          </w:tcPr>
          <w:p w14:paraId="73DF8CE4" w14:textId="77777777" w:rsidR="00050F99" w:rsidRPr="009D3887" w:rsidRDefault="004B491F" w:rsidP="00B67787">
            <w:pPr>
              <w:pStyle w:val="TableParagraph"/>
              <w:spacing w:line="232" w:lineRule="auto"/>
              <w:ind w:left="51" w:right="299"/>
            </w:pPr>
            <w:r w:rsidRPr="009D3887">
              <w:rPr>
                <w:b/>
              </w:rPr>
              <w:t>Study population</w:t>
            </w:r>
            <w:r w:rsidRPr="009D3887">
              <w:t xml:space="preserve">: </w:t>
            </w:r>
          </w:p>
          <w:p w14:paraId="20A4A09D" w14:textId="77777777" w:rsidR="003F6609" w:rsidRPr="009D3887" w:rsidRDefault="004B491F" w:rsidP="00B67787">
            <w:pPr>
              <w:pStyle w:val="TableParagraph"/>
              <w:spacing w:line="232" w:lineRule="auto"/>
              <w:ind w:left="51" w:right="299"/>
            </w:pPr>
            <w:r w:rsidRPr="009D3887">
              <w:t>(</w:t>
            </w:r>
            <w:r w:rsidR="005D1C40" w:rsidRPr="009D3887">
              <w:t>describe the type of patient for whom the care process will be improved, e.g., all patients in your practice, patients with diabetes, patients presenting</w:t>
            </w:r>
            <w:r w:rsidR="00764E55" w:rsidRPr="009D3887">
              <w:t xml:space="preserve"> for emergency care:</w:t>
            </w:r>
          </w:p>
          <w:p w14:paraId="036E8995" w14:textId="77777777" w:rsidR="00A368BB" w:rsidRPr="009D3887" w:rsidRDefault="00A368BB" w:rsidP="00B67787">
            <w:pPr>
              <w:pStyle w:val="TableParagraph"/>
              <w:spacing w:line="232" w:lineRule="auto"/>
              <w:ind w:left="51" w:right="299"/>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10B6D641" w14:textId="77777777" w:rsidR="008E6381" w:rsidRPr="00C6377D" w:rsidRDefault="008E6381" w:rsidP="00C6377D">
            <w:pPr>
              <w:spacing w:before="176" w:line="276" w:lineRule="auto"/>
              <w:ind w:left="194" w:right="146"/>
            </w:pPr>
            <w:r w:rsidRPr="00C6377D">
              <w:t>Patients in my practice receiving intravitreal injections of aflibercept, ranibizumab, bevacizumab and triamcinolone for DME, RVO and AMD.</w:t>
            </w: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3A11F8">
        <w:trPr>
          <w:trHeight w:hRule="exact" w:val="14419"/>
        </w:trPr>
        <w:tc>
          <w:tcPr>
            <w:tcW w:w="3673" w:type="dxa"/>
          </w:tcPr>
          <w:p w14:paraId="1CA8086E" w14:textId="74FD2F21" w:rsidR="00587B3D" w:rsidRPr="009D3887" w:rsidRDefault="003A11F8" w:rsidP="00CD4C2B">
            <w:pPr>
              <w:ind w:left="95"/>
            </w:pPr>
            <w:r w:rsidRPr="009D3887">
              <w:lastRenderedPageBreak/>
              <w:br w:type="page"/>
            </w:r>
            <w:r w:rsidR="00587B3D" w:rsidRPr="009D3887">
              <w:rPr>
                <w:b/>
              </w:rPr>
              <w:t>Quality Indicators / Performance Measures</w:t>
            </w:r>
            <w:r w:rsidR="00587B3D" w:rsidRPr="009D3887">
              <w:t>:</w:t>
            </w:r>
          </w:p>
          <w:p w14:paraId="33B40FE0" w14:textId="77777777" w:rsidR="008B1A4C" w:rsidRPr="009D3887" w:rsidRDefault="00587B3D" w:rsidP="00CD4C2B">
            <w:pPr>
              <w:ind w:left="202" w:right="71"/>
            </w:pPr>
            <w:r w:rsidRPr="009D3887">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9D3887">
              <w:t xml:space="preserve"> </w:t>
            </w:r>
          </w:p>
          <w:p w14:paraId="35EE794C" w14:textId="390DE8A6" w:rsidR="005561B9" w:rsidRPr="009D3887" w:rsidRDefault="005561B9" w:rsidP="00CD4C2B">
            <w:pPr>
              <w:ind w:left="202" w:right="71"/>
            </w:pPr>
            <w:r w:rsidRPr="009D3887">
              <w:rPr>
                <w:position w:val="2"/>
              </w:rPr>
              <w:t xml:space="preserve">. </w:t>
            </w:r>
            <w:r w:rsidR="002F2CA0" w:rsidRPr="009D3887">
              <w:t>Process of care measures (e.g. timely treatment of diabetic retinopathy) can influence outcome measure (e.g. decreased risk of severe vision loss);</w:t>
            </w:r>
            <w:r w:rsidR="008B1A4C" w:rsidRPr="009D3887">
              <w:t xml:space="preserve"> </w:t>
            </w:r>
          </w:p>
          <w:p w14:paraId="4865D7A5" w14:textId="77777777" w:rsidR="0022551A" w:rsidRPr="009D3887" w:rsidRDefault="002F2CA0" w:rsidP="00CD4C2B">
            <w:pPr>
              <w:ind w:left="202" w:right="71"/>
            </w:pPr>
            <w:r w:rsidRPr="009D3887">
              <w:rPr>
                <w:position w:val="2"/>
              </w:rPr>
              <w:t xml:space="preserve">. </w:t>
            </w:r>
            <w:r w:rsidRPr="009D3887">
              <w:t>Outcome measures can be linked to processes of care that can be improved.</w:t>
            </w:r>
            <w:r w:rsidR="005561B9" w:rsidRPr="009D3887">
              <w:t xml:space="preserve"> </w:t>
            </w:r>
          </w:p>
          <w:p w14:paraId="796414F9" w14:textId="107FE1C5" w:rsidR="00EE3AF2" w:rsidRPr="009D3887" w:rsidRDefault="002F2CA0" w:rsidP="00CD4C2B">
            <w:pPr>
              <w:ind w:left="202" w:right="71"/>
            </w:pPr>
            <w:r w:rsidRPr="009D3887">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9D3887">
              <w:t>3-month</w:t>
            </w:r>
            <w:r w:rsidRPr="009D3887">
              <w:t xml:space="preserve"> period.</w:t>
            </w:r>
            <w:r w:rsidR="0022551A" w:rsidRPr="009D3887">
              <w:t xml:space="preserve"> </w:t>
            </w:r>
          </w:p>
          <w:p w14:paraId="069117DD" w14:textId="77777777" w:rsidR="00D144C4" w:rsidRPr="009D3887" w:rsidRDefault="002F2CA0" w:rsidP="00CD4C2B">
            <w:pPr>
              <w:ind w:left="202" w:right="71"/>
            </w:pPr>
            <w:r w:rsidRPr="009D3887">
              <w:rPr>
                <w:position w:val="2"/>
              </w:rPr>
              <w:t xml:space="preserve">. </w:t>
            </w:r>
            <w:r w:rsidRPr="009D3887">
              <w:t>The numerator of this process measure would be the number of newly diagnosed patients during this time who have a</w:t>
            </w:r>
            <w:r w:rsidR="00D144C4" w:rsidRPr="009D3887">
              <w:t xml:space="preserve"> </w:t>
            </w:r>
            <w:r w:rsidRPr="009D3887">
              <w:t>goal IOP recorded in the medical record.</w:t>
            </w:r>
          </w:p>
          <w:p w14:paraId="6EC35021" w14:textId="3959F0F0" w:rsidR="00F674CC" w:rsidRPr="009D3887" w:rsidRDefault="007C388A" w:rsidP="00CD4C2B">
            <w:pPr>
              <w:ind w:left="202" w:right="71"/>
            </w:pPr>
            <w:r w:rsidRPr="009D3887">
              <w:rPr>
                <w:position w:val="2"/>
              </w:rPr>
              <w:t xml:space="preserve">. </w:t>
            </w:r>
            <w:r w:rsidR="002F2CA0" w:rsidRPr="009D3887">
              <w:t>The denominator would be the total number of patients diagnosed during that same time period.</w:t>
            </w:r>
            <w:r w:rsidR="00E2507E" w:rsidRPr="009D3887">
              <w:t xml:space="preserve"> </w:t>
            </w:r>
          </w:p>
          <w:p w14:paraId="0985A478" w14:textId="77777777" w:rsidR="003A11F8" w:rsidRPr="009D3887" w:rsidRDefault="002F2CA0" w:rsidP="00CD4C2B">
            <w:pPr>
              <w:ind w:left="202" w:right="72"/>
            </w:pPr>
            <w:r w:rsidRPr="009D3887">
              <w:t>Continuous variables (e.g. the refracted spherical equivalent after cataract surgery) can often be simplified and transformed then into percentage rates</w:t>
            </w:r>
            <w:r w:rsidR="00E041FA" w:rsidRPr="009D3887">
              <w:t xml:space="preserve"> </w:t>
            </w:r>
          </w:p>
          <w:p w14:paraId="0BDB0A20" w14:textId="77777777" w:rsidR="00AB13EC" w:rsidRPr="009D3887" w:rsidRDefault="00AB13EC" w:rsidP="00CD4C2B">
            <w:pPr>
              <w:ind w:left="202" w:right="72"/>
            </w:pPr>
            <w:r w:rsidRPr="009D3887">
              <w:t xml:space="preserve">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 process change. In the example above, an additional outcome measure might be the percentage of patients in whom the goal IOP is attained within the first 6 months after diagnosis.  </w:t>
            </w:r>
          </w:p>
          <w:p w14:paraId="6D202B70" w14:textId="77777777" w:rsidR="00AB13EC" w:rsidRPr="009D3887" w:rsidRDefault="00AB13EC" w:rsidP="00AB13EC">
            <w:pPr>
              <w:ind w:left="202" w:right="72"/>
            </w:pPr>
            <w:r w:rsidRPr="009D3887">
              <w:t xml:space="preserve">If possible, measure quality indicators for at least 30 individual patients or data points during the baseline and again during the follow up period.  </w:t>
            </w:r>
          </w:p>
          <w:p w14:paraId="4D76AFD4" w14:textId="29C1D37C" w:rsidR="00AB13EC" w:rsidRPr="009D3887" w:rsidRDefault="00AB13EC" w:rsidP="00D12B12">
            <w:pPr>
              <w:ind w:left="202" w:right="72"/>
            </w:pPr>
          </w:p>
        </w:tc>
        <w:tc>
          <w:tcPr>
            <w:tcW w:w="7099" w:type="dxa"/>
          </w:tcPr>
          <w:p w14:paraId="5ADAD1EE" w14:textId="77777777" w:rsidR="0020497E" w:rsidRPr="0020497E" w:rsidRDefault="0020497E" w:rsidP="0020497E">
            <w:pPr>
              <w:spacing w:line="276" w:lineRule="auto"/>
              <w:ind w:left="187" w:right="144"/>
            </w:pPr>
            <w:r w:rsidRPr="005319DA">
              <w:rPr>
                <w:b/>
                <w:bCs/>
              </w:rPr>
              <w:t>Measure Type:</w:t>
            </w:r>
            <w:r w:rsidRPr="0020497E">
              <w:t xml:space="preserve"> Process</w:t>
            </w:r>
          </w:p>
          <w:p w14:paraId="17B47BDE" w14:textId="0ABF5CDF" w:rsidR="0020497E" w:rsidRPr="0020497E" w:rsidRDefault="0020497E" w:rsidP="0020497E">
            <w:pPr>
              <w:spacing w:line="276" w:lineRule="auto"/>
              <w:ind w:left="187" w:right="144"/>
            </w:pPr>
            <w:r w:rsidRPr="005319DA">
              <w:rPr>
                <w:b/>
                <w:bCs/>
              </w:rPr>
              <w:t>Measure Name:</w:t>
            </w:r>
            <w:r w:rsidRPr="0020497E">
              <w:t xml:space="preserve"> </w:t>
            </w:r>
            <w:r w:rsidR="00A562FC">
              <w:t>P</w:t>
            </w:r>
            <w:r w:rsidRPr="0020497E">
              <w:t>atient pain level during and after intravitreal injections</w:t>
            </w:r>
          </w:p>
          <w:p w14:paraId="0200B66A" w14:textId="2951082F" w:rsidR="0020497E" w:rsidRPr="0020497E" w:rsidRDefault="0020497E" w:rsidP="0020497E">
            <w:pPr>
              <w:spacing w:line="276" w:lineRule="auto"/>
              <w:ind w:left="187" w:right="144"/>
            </w:pPr>
            <w:r w:rsidRPr="005319DA">
              <w:rPr>
                <w:b/>
                <w:bCs/>
              </w:rPr>
              <w:t>Numerator Statement:</w:t>
            </w:r>
            <w:r w:rsidRPr="0020497E">
              <w:t xml:space="preserve"> Number of patients who experience significant pain at time of injections and 6 hours after</w:t>
            </w:r>
            <w:r w:rsidR="00A562FC">
              <w:t>.</w:t>
            </w:r>
          </w:p>
          <w:p w14:paraId="7062ADE9" w14:textId="7C070C49" w:rsidR="0020497E" w:rsidRPr="0020497E" w:rsidRDefault="0020497E" w:rsidP="0020497E">
            <w:pPr>
              <w:spacing w:line="276" w:lineRule="auto"/>
              <w:ind w:left="187" w:right="144"/>
            </w:pPr>
            <w:r w:rsidRPr="005319DA">
              <w:rPr>
                <w:b/>
                <w:bCs/>
              </w:rPr>
              <w:t>Denominator Statement:</w:t>
            </w:r>
            <w:r w:rsidRPr="0020497E">
              <w:t xml:space="preserve"> 30 </w:t>
            </w:r>
            <w:r w:rsidR="00A562FC">
              <w:t>C</w:t>
            </w:r>
            <w:r w:rsidRPr="0020497E">
              <w:t>onsecutive patients undergoing intravitreal injections</w:t>
            </w:r>
            <w:r w:rsidR="00A562FC">
              <w:t>.</w:t>
            </w:r>
          </w:p>
          <w:p w14:paraId="4D76AFD5" w14:textId="77777777" w:rsidR="003F6609" w:rsidRPr="009D3887" w:rsidRDefault="003F6609" w:rsidP="003F1660">
            <w:pPr>
              <w:pStyle w:val="BodyText"/>
              <w:ind w:left="144" w:right="1221"/>
              <w:rPr>
                <w:sz w:val="22"/>
                <w:szCs w:val="22"/>
              </w:rPr>
            </w:pPr>
          </w:p>
        </w:tc>
      </w:tr>
      <w:tr w:rsidR="00F674CC" w:rsidRPr="00D77401" w14:paraId="2654CD66" w14:textId="77777777" w:rsidTr="003A11F8">
        <w:trPr>
          <w:trHeight w:hRule="exact" w:val="14419"/>
        </w:trPr>
        <w:tc>
          <w:tcPr>
            <w:tcW w:w="3673" w:type="dxa"/>
          </w:tcPr>
          <w:p w14:paraId="6194D430" w14:textId="77777777" w:rsidR="00D12B12" w:rsidRPr="009D3887" w:rsidRDefault="00AB13EC" w:rsidP="00D12B12">
            <w:pPr>
              <w:ind w:left="202" w:right="72"/>
            </w:pPr>
            <w:r w:rsidRPr="009D3887">
              <w:lastRenderedPageBreak/>
              <w:t>We realize that this may not be feasible or appropriate for all projects. Please indicate at least one measure below;</w:t>
            </w:r>
            <w:r w:rsidR="00D12B12" w:rsidRPr="009D3887">
              <w:t xml:space="preserve"> either a process or outcome measure: </w:t>
            </w:r>
          </w:p>
          <w:p w14:paraId="67245403" w14:textId="77777777" w:rsidR="00AB13EC" w:rsidRPr="009D3887" w:rsidRDefault="00AB13EC" w:rsidP="00CD4C2B">
            <w:pPr>
              <w:ind w:left="202" w:right="72"/>
            </w:pPr>
          </w:p>
          <w:p w14:paraId="4F75D2AC" w14:textId="545F4D46" w:rsidR="00E041FA" w:rsidRPr="009D3887" w:rsidRDefault="00E041FA" w:rsidP="00CD4C2B">
            <w:pPr>
              <w:ind w:left="202" w:right="72"/>
            </w:pPr>
            <w:r w:rsidRPr="009D3887">
              <w:rPr>
                <w:b/>
              </w:rPr>
              <w:t>Example Measure</w:t>
            </w:r>
            <w:r w:rsidRPr="009D3887">
              <w:t>:</w:t>
            </w:r>
          </w:p>
          <w:p w14:paraId="761FED18" w14:textId="77777777" w:rsidR="00E041FA" w:rsidRPr="009D3887" w:rsidRDefault="00E041FA" w:rsidP="00CD4C2B">
            <w:pPr>
              <w:ind w:left="202" w:right="72"/>
            </w:pPr>
            <w:r w:rsidRPr="009D3887">
              <w:t xml:space="preserve">. </w:t>
            </w:r>
            <w:r w:rsidRPr="009D3887">
              <w:rPr>
                <w:b/>
              </w:rPr>
              <w:t>Measure Type</w:t>
            </w:r>
            <w:r w:rsidRPr="009D3887">
              <w:t>: Process Measure</w:t>
            </w:r>
          </w:p>
          <w:p w14:paraId="41D79F0A" w14:textId="77777777" w:rsidR="00E041FA" w:rsidRPr="009D3887" w:rsidRDefault="00E041FA" w:rsidP="00CD4C2B">
            <w:pPr>
              <w:ind w:left="202" w:right="72"/>
            </w:pPr>
            <w:r w:rsidRPr="009D3887">
              <w:t xml:space="preserve">. </w:t>
            </w:r>
            <w:r w:rsidRPr="009D3887">
              <w:rPr>
                <w:b/>
              </w:rPr>
              <w:t>Measure Name</w:t>
            </w:r>
            <w:r w:rsidRPr="009D3887">
              <w:t>: Patient pain level during intravitreal injection</w:t>
            </w:r>
          </w:p>
          <w:p w14:paraId="07FD1D13" w14:textId="77777777" w:rsidR="00E041FA" w:rsidRPr="009D3887" w:rsidRDefault="00E041FA" w:rsidP="00CD4C2B">
            <w:pPr>
              <w:ind w:left="202" w:right="72"/>
            </w:pPr>
            <w:r w:rsidRPr="009D3887">
              <w:t xml:space="preserve">. </w:t>
            </w:r>
            <w:r w:rsidRPr="009D3887">
              <w:rPr>
                <w:b/>
              </w:rPr>
              <w:t>Numerator Statement</w:t>
            </w:r>
            <w:r w:rsidRPr="009D3887">
              <w:t>: Number of patients in who pain levels decreased by 2 points on a 1-10 scale</w:t>
            </w:r>
          </w:p>
          <w:p w14:paraId="14511E99" w14:textId="6772EA2E" w:rsidR="00E041FA" w:rsidRPr="009D3887" w:rsidRDefault="00E041FA" w:rsidP="00CD4C2B">
            <w:pPr>
              <w:ind w:left="202" w:right="72"/>
            </w:pPr>
            <w:r w:rsidRPr="009D3887">
              <w:t xml:space="preserve">. </w:t>
            </w:r>
            <w:r w:rsidRPr="009D3887">
              <w:rPr>
                <w:b/>
              </w:rPr>
              <w:t>Denominator Statement</w:t>
            </w:r>
            <w:r w:rsidRPr="009D3887">
              <w:t>: 30 consecutive patients undergoing intravitreal injection</w:t>
            </w:r>
            <w:r w:rsidR="00AB13EC" w:rsidRPr="009D3887">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9D3887">
        <w:trPr>
          <w:trHeight w:hRule="exact" w:val="7039"/>
        </w:trPr>
        <w:tc>
          <w:tcPr>
            <w:tcW w:w="3673" w:type="dxa"/>
          </w:tcPr>
          <w:p w14:paraId="0C935C4A" w14:textId="737D5605" w:rsidR="003D4C78" w:rsidRPr="002A0FF8" w:rsidRDefault="003D4C78" w:rsidP="00CD4C2B">
            <w:pPr>
              <w:ind w:left="95"/>
              <w:rPr>
                <w:sz w:val="20"/>
                <w:szCs w:val="20"/>
              </w:rPr>
            </w:pPr>
            <w:r w:rsidRPr="00813E97">
              <w:rPr>
                <w:b/>
                <w:sz w:val="20"/>
                <w:szCs w:val="20"/>
              </w:rPr>
              <w:lastRenderedPageBreak/>
              <w:t>Project Interventions</w:t>
            </w:r>
            <w:r w:rsidRPr="002A0FF8">
              <w:rPr>
                <w:sz w:val="20"/>
                <w:szCs w:val="20"/>
              </w:rPr>
              <w:t>:</w:t>
            </w:r>
          </w:p>
          <w:p w14:paraId="0C483982" w14:textId="77777777" w:rsidR="003D4C78" w:rsidRPr="009D3887" w:rsidRDefault="003D4C78" w:rsidP="00CD4C2B">
            <w:pPr>
              <w:ind w:left="202" w:right="55" w:firstLine="44"/>
            </w:pPr>
            <w:r w:rsidRPr="009D3887">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6C19FFBC" w14:textId="680CD609" w:rsidR="00FD4644" w:rsidRPr="00FD4644" w:rsidRDefault="00FD4644" w:rsidP="00FD4644">
            <w:pPr>
              <w:spacing w:before="176" w:line="276" w:lineRule="auto"/>
              <w:ind w:left="194" w:right="146"/>
            </w:pPr>
            <w:r w:rsidRPr="00FD4644">
              <w:t>I hope to discover which technique, Tetravisc drops or lidocaine pledget provide the best overall experience for the patient for initial treatment. I also hope to customize the treatment protocol for each patient who seems to prefer one method over the other.</w:t>
            </w:r>
          </w:p>
          <w:p w14:paraId="4D76AFD8" w14:textId="77777777" w:rsidR="0038202A" w:rsidRPr="00D77401" w:rsidRDefault="0038202A" w:rsidP="004030D0">
            <w:pPr>
              <w:pStyle w:val="TableParagraph"/>
              <w:ind w:left="72" w:right="115"/>
              <w:rPr>
                <w:sz w:val="20"/>
                <w:szCs w:val="20"/>
              </w:rPr>
            </w:pPr>
          </w:p>
        </w:tc>
      </w:tr>
      <w:tr w:rsidR="00D72300" w:rsidRPr="00D77401" w14:paraId="4D76AFDC" w14:textId="77777777" w:rsidTr="000D0724">
        <w:trPr>
          <w:trHeight w:hRule="exact" w:val="2881"/>
        </w:trPr>
        <w:tc>
          <w:tcPr>
            <w:tcW w:w="3673" w:type="dxa"/>
          </w:tcPr>
          <w:p w14:paraId="48EE81BF" w14:textId="77777777" w:rsidR="00A368BB" w:rsidRPr="009D3887" w:rsidRDefault="003E1AE1" w:rsidP="00A368BB">
            <w:pPr>
              <w:ind w:left="101"/>
            </w:pPr>
            <w:r w:rsidRPr="009D3887">
              <w:rPr>
                <w:b/>
              </w:rPr>
              <w:t>Project Team</w:t>
            </w:r>
            <w:r w:rsidR="00A368BB" w:rsidRPr="009D3887">
              <w:t>:</w:t>
            </w:r>
          </w:p>
          <w:p w14:paraId="7EDEB78E" w14:textId="6CA9CB70" w:rsidR="003E1AE1" w:rsidRPr="009D3887" w:rsidRDefault="003E1AE1" w:rsidP="00A368BB">
            <w:pPr>
              <w:ind w:left="101"/>
            </w:pPr>
            <w:r w:rsidRPr="009D3887">
              <w:t>(include roles for yourself and all members of your team):</w:t>
            </w:r>
          </w:p>
          <w:p w14:paraId="4134CCE7" w14:textId="77777777" w:rsidR="003E1AE1" w:rsidRPr="009D3887" w:rsidRDefault="003E1AE1" w:rsidP="00CD4C2B">
            <w:pPr>
              <w:spacing w:before="32"/>
              <w:ind w:left="202" w:right="287"/>
            </w:pPr>
            <w:r w:rsidRPr="009D3887">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12051734" w14:textId="4DDDE576" w:rsidR="009443BF" w:rsidRPr="009443BF" w:rsidRDefault="009443BF" w:rsidP="009443BF">
            <w:pPr>
              <w:spacing w:line="276" w:lineRule="auto"/>
              <w:ind w:left="187" w:right="144"/>
            </w:pPr>
            <w:r w:rsidRPr="009443BF">
              <w:t>Myself</w:t>
            </w:r>
            <w:r>
              <w:t xml:space="preserve">; </w:t>
            </w:r>
            <w:r w:rsidRPr="009443BF">
              <w:t>will do injections,</w:t>
            </w:r>
            <w:r>
              <w:t xml:space="preserve"> </w:t>
            </w:r>
            <w:r w:rsidRPr="009443BF">
              <w:t>ask patient to judge the pain from 1-10 ( ten being the worst)</w:t>
            </w:r>
            <w:r>
              <w:t xml:space="preserve"> </w:t>
            </w:r>
            <w:r w:rsidRPr="009443BF">
              <w:t>call patient 4-6 hours later to gauge the pain after all numbing wears off in similar 1-10 scale. average the 2 numbers for an overall pain score</w:t>
            </w:r>
            <w:r>
              <w:t>.</w:t>
            </w:r>
          </w:p>
          <w:p w14:paraId="4D76AFDB" w14:textId="77777777" w:rsidR="00E35DEF" w:rsidRPr="00D77401" w:rsidRDefault="00E35DEF" w:rsidP="007A697D">
            <w:pPr>
              <w:pStyle w:val="TableParagraph"/>
              <w:ind w:left="43" w:right="115"/>
              <w:rPr>
                <w:sz w:val="20"/>
                <w:szCs w:val="20"/>
              </w:rPr>
            </w:pPr>
          </w:p>
        </w:tc>
      </w:tr>
      <w:tr w:rsidR="003B6CEC" w:rsidRPr="00D77401" w14:paraId="4D76AFDF" w14:textId="77777777" w:rsidTr="003548D2">
        <w:trPr>
          <w:trHeight w:hRule="exact" w:val="1081"/>
        </w:trPr>
        <w:tc>
          <w:tcPr>
            <w:tcW w:w="3673" w:type="dxa"/>
          </w:tcPr>
          <w:p w14:paraId="4D76AFDD" w14:textId="23AD6A51" w:rsidR="003B6CEC" w:rsidRPr="009D3887" w:rsidRDefault="005E66A8" w:rsidP="00B84012">
            <w:pPr>
              <w:pStyle w:val="TableParagraph"/>
              <w:spacing w:line="232" w:lineRule="auto"/>
              <w:ind w:right="96"/>
            </w:pPr>
            <w:r w:rsidRPr="002D228F">
              <w:rPr>
                <w:sz w:val="20"/>
                <w:szCs w:val="20"/>
              </w:rPr>
              <w:t xml:space="preserve"> </w:t>
            </w:r>
            <w:r w:rsidRPr="009D3887">
              <w:t>Will any other ophthalmologists be requesting MOC credit for participation in this SD-PIM?</w:t>
            </w:r>
          </w:p>
        </w:tc>
        <w:tc>
          <w:tcPr>
            <w:tcW w:w="7099" w:type="dxa"/>
          </w:tcPr>
          <w:p w14:paraId="4D76AFDE" w14:textId="7E360E07" w:rsidR="003B6CEC" w:rsidRPr="00D77401" w:rsidRDefault="003548D2" w:rsidP="00EA16A2">
            <w:pPr>
              <w:ind w:left="187" w:right="52"/>
              <w:rPr>
                <w:sz w:val="20"/>
                <w:szCs w:val="20"/>
              </w:rPr>
            </w:pPr>
            <w:r>
              <w:rPr>
                <w:sz w:val="20"/>
                <w:szCs w:val="20"/>
              </w:rPr>
              <w:t>NO</w:t>
            </w:r>
          </w:p>
        </w:tc>
      </w:tr>
    </w:tbl>
    <w:p w14:paraId="2D098104" w14:textId="16232C66" w:rsidR="005D00A2"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5E794A" w14:paraId="4D76AFED" w14:textId="77777777" w:rsidTr="009D3887">
        <w:trPr>
          <w:trHeight w:hRule="exact" w:val="1576"/>
        </w:trPr>
        <w:tc>
          <w:tcPr>
            <w:tcW w:w="3678" w:type="dxa"/>
          </w:tcPr>
          <w:p w14:paraId="4D76AFEA" w14:textId="5AB11B31" w:rsidR="005E794A" w:rsidRPr="009D3887" w:rsidRDefault="005E794A" w:rsidP="005E794A">
            <w:pPr>
              <w:pStyle w:val="TableParagraph"/>
              <w:ind w:left="51" w:right="78"/>
              <w:rPr>
                <w:b/>
              </w:rPr>
            </w:pPr>
            <w:r w:rsidRPr="009D3887">
              <w:rPr>
                <w:b/>
              </w:rPr>
              <w:t>Project Summary</w:t>
            </w:r>
          </w:p>
        </w:tc>
        <w:tc>
          <w:tcPr>
            <w:tcW w:w="6998" w:type="dxa"/>
          </w:tcPr>
          <w:p w14:paraId="4C1511E8" w14:textId="77777777" w:rsidR="005E794A" w:rsidRPr="009D3887" w:rsidRDefault="005E794A" w:rsidP="005E794A">
            <w:pPr>
              <w:pStyle w:val="BodyText"/>
              <w:kinsoku w:val="0"/>
              <w:overflowPunct w:val="0"/>
              <w:ind w:left="86" w:right="72"/>
              <w:rPr>
                <w:bCs/>
                <w:sz w:val="22"/>
                <w:szCs w:val="22"/>
              </w:rPr>
            </w:pPr>
            <w:r w:rsidRPr="009D3887">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5E794A" w:rsidRPr="009D3887" w:rsidRDefault="005E794A" w:rsidP="005E794A">
            <w:pPr>
              <w:tabs>
                <w:tab w:val="left" w:pos="288"/>
              </w:tabs>
              <w:ind w:right="52"/>
            </w:pPr>
          </w:p>
        </w:tc>
      </w:tr>
      <w:tr w:rsidR="005E794A" w14:paraId="4D76AFF1" w14:textId="77777777" w:rsidTr="00FF08DA">
        <w:trPr>
          <w:trHeight w:hRule="exact" w:val="2719"/>
        </w:trPr>
        <w:tc>
          <w:tcPr>
            <w:tcW w:w="3678" w:type="dxa"/>
          </w:tcPr>
          <w:p w14:paraId="1E62D98F" w14:textId="77777777" w:rsidR="005E794A" w:rsidRPr="009D3887" w:rsidRDefault="005E794A" w:rsidP="005E794A">
            <w:pPr>
              <w:ind w:left="95"/>
            </w:pPr>
            <w:r w:rsidRPr="009D3887">
              <w:rPr>
                <w:b/>
              </w:rPr>
              <w:lastRenderedPageBreak/>
              <w:t>Baseline Data</w:t>
            </w:r>
            <w:r w:rsidRPr="009D3887">
              <w:t>:</w:t>
            </w:r>
          </w:p>
          <w:p w14:paraId="51411871" w14:textId="77777777" w:rsidR="005E794A" w:rsidRPr="004F7988" w:rsidRDefault="005E794A" w:rsidP="005E794A">
            <w:pPr>
              <w:ind w:left="202" w:right="288"/>
              <w:rPr>
                <w:sz w:val="20"/>
                <w:szCs w:val="20"/>
              </w:rPr>
            </w:pPr>
            <w:r w:rsidRPr="009D3887">
              <w:t>Quantify each of the quality indicators / performance measures described above for the baseline period (before interventions for improvement were introduced). Report the numerator, denominator and the calculated percentage rate for each measure</w:t>
            </w:r>
            <w:r w:rsidRPr="004F7988">
              <w:rPr>
                <w:sz w:val="20"/>
                <w:szCs w:val="20"/>
              </w:rPr>
              <w:t>.</w:t>
            </w:r>
          </w:p>
          <w:p w14:paraId="4D76AFEE" w14:textId="592292B4" w:rsidR="005E794A" w:rsidRPr="004F7988" w:rsidRDefault="005E794A" w:rsidP="005E794A">
            <w:pPr>
              <w:pStyle w:val="TableParagraph"/>
              <w:spacing w:line="232" w:lineRule="auto"/>
              <w:ind w:left="51" w:right="40"/>
              <w:rPr>
                <w:sz w:val="20"/>
                <w:szCs w:val="20"/>
              </w:rPr>
            </w:pPr>
          </w:p>
        </w:tc>
        <w:tc>
          <w:tcPr>
            <w:tcW w:w="6998" w:type="dxa"/>
          </w:tcPr>
          <w:p w14:paraId="3D4B20E3" w14:textId="77777777" w:rsidR="00E0117D" w:rsidRPr="00686C60" w:rsidRDefault="00E0117D" w:rsidP="00686C60">
            <w:pPr>
              <w:pStyle w:val="BodyText"/>
              <w:kinsoku w:val="0"/>
              <w:overflowPunct w:val="0"/>
              <w:ind w:left="86" w:right="72"/>
              <w:rPr>
                <w:bCs/>
                <w:sz w:val="22"/>
                <w:szCs w:val="22"/>
              </w:rPr>
            </w:pPr>
            <w:r w:rsidRPr="00686C60">
              <w:rPr>
                <w:bCs/>
                <w:sz w:val="22"/>
                <w:szCs w:val="22"/>
              </w:rPr>
              <w:t>Baseline period.</w:t>
            </w:r>
          </w:p>
          <w:p w14:paraId="632F32A5" w14:textId="47329886" w:rsidR="00E0117D" w:rsidRPr="00686C60" w:rsidRDefault="00E0117D" w:rsidP="00686C60">
            <w:pPr>
              <w:pStyle w:val="BodyText"/>
              <w:kinsoku w:val="0"/>
              <w:overflowPunct w:val="0"/>
              <w:ind w:left="86" w:right="72"/>
              <w:rPr>
                <w:bCs/>
                <w:sz w:val="22"/>
                <w:szCs w:val="22"/>
              </w:rPr>
            </w:pPr>
            <w:r w:rsidRPr="00686C60">
              <w:rPr>
                <w:bCs/>
                <w:sz w:val="22"/>
                <w:szCs w:val="22"/>
              </w:rPr>
              <w:t>0/30 = 0% experienced moderate or severe pain at injection</w:t>
            </w:r>
            <w:r w:rsidR="000A70BB">
              <w:rPr>
                <w:bCs/>
                <w:sz w:val="22"/>
                <w:szCs w:val="22"/>
              </w:rPr>
              <w:t xml:space="preserve">.  </w:t>
            </w:r>
            <w:r w:rsidRPr="00686C60">
              <w:rPr>
                <w:bCs/>
                <w:sz w:val="22"/>
                <w:szCs w:val="22"/>
              </w:rPr>
              <w:t xml:space="preserve">3/30 = 10% of patients experienced mild pain and burning 4-6 hours after injection. No patients experienced severe pain. All 3 patients had a lidocaine pledget placed 10 minutes before the injection. No patients with </w:t>
            </w:r>
            <w:r w:rsidR="000A70BB" w:rsidRPr="00686C60">
              <w:rPr>
                <w:bCs/>
                <w:sz w:val="22"/>
                <w:szCs w:val="22"/>
              </w:rPr>
              <w:t>Tetravisc</w:t>
            </w:r>
            <w:r w:rsidRPr="00686C60">
              <w:rPr>
                <w:bCs/>
                <w:sz w:val="22"/>
                <w:szCs w:val="22"/>
              </w:rPr>
              <w:t xml:space="preserve"> drops experienced</w:t>
            </w:r>
            <w:r w:rsidR="000A70BB">
              <w:rPr>
                <w:bCs/>
                <w:sz w:val="22"/>
                <w:szCs w:val="22"/>
              </w:rPr>
              <w:t xml:space="preserve"> </w:t>
            </w:r>
            <w:r w:rsidRPr="00686C60">
              <w:rPr>
                <w:bCs/>
                <w:sz w:val="22"/>
                <w:szCs w:val="22"/>
              </w:rPr>
              <w:t>pain/burning later.</w:t>
            </w:r>
          </w:p>
          <w:p w14:paraId="4D76AFF0" w14:textId="77777777" w:rsidR="005E794A" w:rsidRPr="004F7988" w:rsidRDefault="005E794A" w:rsidP="005E794A">
            <w:pPr>
              <w:pStyle w:val="TableParagraph"/>
              <w:spacing w:line="273" w:lineRule="exact"/>
              <w:rPr>
                <w:sz w:val="20"/>
                <w:szCs w:val="20"/>
              </w:rPr>
            </w:pPr>
          </w:p>
        </w:tc>
      </w:tr>
      <w:tr w:rsidR="005E794A" w14:paraId="4D76AFF5" w14:textId="77777777" w:rsidTr="00F97215">
        <w:trPr>
          <w:trHeight w:hRule="exact" w:val="2431"/>
        </w:trPr>
        <w:tc>
          <w:tcPr>
            <w:tcW w:w="3678" w:type="dxa"/>
          </w:tcPr>
          <w:p w14:paraId="10ED86B0" w14:textId="77777777" w:rsidR="005E794A" w:rsidRPr="009D3887" w:rsidRDefault="005E794A" w:rsidP="005E794A">
            <w:pPr>
              <w:ind w:left="95"/>
            </w:pPr>
            <w:r w:rsidRPr="009D3887">
              <w:rPr>
                <w:b/>
              </w:rPr>
              <w:t>Follow-up Data</w:t>
            </w:r>
            <w:r w:rsidRPr="009D3887">
              <w:t>:</w:t>
            </w:r>
          </w:p>
          <w:p w14:paraId="0354C0AB" w14:textId="77777777" w:rsidR="005E794A" w:rsidRPr="009D3887" w:rsidRDefault="005E794A" w:rsidP="005E794A">
            <w:pPr>
              <w:ind w:left="202" w:right="153"/>
            </w:pPr>
            <w:r w:rsidRPr="009D3887">
              <w:t>Quantify each of the quality indicators / performance measures described above for the re-measurement period (the period following implementation of the interventions for improvement).</w:t>
            </w:r>
          </w:p>
          <w:p w14:paraId="4D76AFF2" w14:textId="13643235" w:rsidR="005E794A" w:rsidRPr="003F6609" w:rsidRDefault="005E794A" w:rsidP="005E794A">
            <w:pPr>
              <w:pStyle w:val="TableParagraph"/>
              <w:spacing w:line="232" w:lineRule="auto"/>
              <w:ind w:left="51" w:right="321"/>
              <w:rPr>
                <w:sz w:val="20"/>
                <w:szCs w:val="20"/>
              </w:rPr>
            </w:pPr>
          </w:p>
        </w:tc>
        <w:tc>
          <w:tcPr>
            <w:tcW w:w="6998" w:type="dxa"/>
          </w:tcPr>
          <w:p w14:paraId="4D003865" w14:textId="6E58F60D" w:rsidR="00772F98" w:rsidRPr="00686C60" w:rsidRDefault="00772F98" w:rsidP="00686C60">
            <w:pPr>
              <w:pStyle w:val="BodyText"/>
              <w:kinsoku w:val="0"/>
              <w:overflowPunct w:val="0"/>
              <w:ind w:left="86" w:right="72"/>
              <w:rPr>
                <w:bCs/>
                <w:sz w:val="22"/>
                <w:szCs w:val="22"/>
              </w:rPr>
            </w:pPr>
            <w:r w:rsidRPr="00686C60">
              <w:rPr>
                <w:bCs/>
                <w:sz w:val="22"/>
                <w:szCs w:val="22"/>
              </w:rPr>
              <w:t xml:space="preserve">Since the measurement period ended, we have been using </w:t>
            </w:r>
            <w:r w:rsidR="00F71A25" w:rsidRPr="00686C60">
              <w:rPr>
                <w:bCs/>
                <w:sz w:val="22"/>
                <w:szCs w:val="22"/>
              </w:rPr>
              <w:t>Tetravisc</w:t>
            </w:r>
            <w:r w:rsidRPr="00686C60">
              <w:rPr>
                <w:bCs/>
                <w:sz w:val="22"/>
                <w:szCs w:val="22"/>
              </w:rPr>
              <w:t xml:space="preserve"> drops for all new and return patients unless the (return) patient specifically requests a pledget. No patients have called after hours or reported significant pain when they return.</w:t>
            </w:r>
          </w:p>
          <w:p w14:paraId="4D76AFF4" w14:textId="77777777" w:rsidR="005E794A" w:rsidRPr="00226642" w:rsidRDefault="005E794A" w:rsidP="005E794A">
            <w:pPr>
              <w:spacing w:before="120"/>
              <w:ind w:left="72" w:right="86"/>
              <w:rPr>
                <w:sz w:val="20"/>
                <w:szCs w:val="20"/>
              </w:rPr>
            </w:pPr>
          </w:p>
        </w:tc>
      </w:tr>
    </w:tbl>
    <w:p w14:paraId="4D76AFFF" w14:textId="77777777" w:rsidR="00992F71" w:rsidRDefault="00992F71" w:rsidP="003F6609">
      <w:pPr>
        <w:spacing w:before="31"/>
        <w:ind w:left="163"/>
        <w:rPr>
          <w:sz w:val="28"/>
        </w:rPr>
      </w:pPr>
    </w:p>
    <w:p w14:paraId="4D76B000" w14:textId="6E2120B8"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8C6BD0">
        <w:trPr>
          <w:trHeight w:hRule="exact" w:val="3439"/>
        </w:trPr>
        <w:tc>
          <w:tcPr>
            <w:tcW w:w="3673" w:type="dxa"/>
          </w:tcPr>
          <w:p w14:paraId="4D76B002" w14:textId="70EF50AD" w:rsidR="003F6609" w:rsidRPr="009D3887" w:rsidRDefault="00B43FCB" w:rsidP="00B67787">
            <w:pPr>
              <w:pStyle w:val="TableParagraph"/>
              <w:spacing w:line="232" w:lineRule="auto"/>
              <w:ind w:left="51" w:right="171"/>
            </w:pPr>
            <w:r w:rsidRPr="009D3887">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3303B697" w14:textId="415D3290" w:rsidR="00BE41E2" w:rsidRPr="00686C60" w:rsidRDefault="00BE41E2" w:rsidP="00686C60">
            <w:pPr>
              <w:pStyle w:val="BodyText"/>
              <w:kinsoku w:val="0"/>
              <w:overflowPunct w:val="0"/>
              <w:ind w:left="86" w:right="72"/>
              <w:rPr>
                <w:bCs/>
                <w:sz w:val="22"/>
                <w:szCs w:val="22"/>
              </w:rPr>
            </w:pPr>
            <w:r w:rsidRPr="00686C60">
              <w:rPr>
                <w:bCs/>
                <w:sz w:val="22"/>
                <w:szCs w:val="22"/>
              </w:rPr>
              <w:t xml:space="preserve">Since the measurement period ended, we have been using </w:t>
            </w:r>
            <w:r w:rsidR="00ED0254" w:rsidRPr="00686C60">
              <w:rPr>
                <w:bCs/>
                <w:sz w:val="22"/>
                <w:szCs w:val="22"/>
              </w:rPr>
              <w:t>Tetravisc</w:t>
            </w:r>
            <w:r w:rsidRPr="00686C60">
              <w:rPr>
                <w:bCs/>
                <w:sz w:val="22"/>
                <w:szCs w:val="22"/>
              </w:rPr>
              <w:t xml:space="preserve"> drops for all new and return patients unless the ( return) patient specifically requests a pledget. While it takes longer for the </w:t>
            </w:r>
            <w:r w:rsidR="00ED0254" w:rsidRPr="00686C60">
              <w:rPr>
                <w:bCs/>
                <w:sz w:val="22"/>
                <w:szCs w:val="22"/>
              </w:rPr>
              <w:t>Tetravisc</w:t>
            </w:r>
            <w:r w:rsidRPr="00686C60">
              <w:rPr>
                <w:bCs/>
                <w:sz w:val="22"/>
                <w:szCs w:val="22"/>
              </w:rPr>
              <w:t xml:space="preserve"> drops to take effect (20 versus 10 minutes) waiting the 20 minutes is worth it for the patient experience. Especially for new patients, we want the experience to be as pain free as possible. The better their overall experience is during the process, the higher chance they will stick with the program and treatment regimen thereby leading to better visual outcomes.</w:t>
            </w:r>
          </w:p>
          <w:p w14:paraId="4D76B004" w14:textId="77777777" w:rsidR="001D61A3" w:rsidRPr="003F6609" w:rsidRDefault="001D61A3" w:rsidP="003F1660">
            <w:pPr>
              <w:spacing w:before="120"/>
              <w:ind w:left="187"/>
              <w:rPr>
                <w:sz w:val="20"/>
                <w:szCs w:val="20"/>
              </w:rPr>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686C60">
        <w:trPr>
          <w:trHeight w:hRule="exact" w:val="730"/>
        </w:trPr>
        <w:tc>
          <w:tcPr>
            <w:tcW w:w="3673" w:type="dxa"/>
          </w:tcPr>
          <w:p w14:paraId="4D76B006" w14:textId="4CA49A14" w:rsidR="003F6609" w:rsidRPr="009D3887" w:rsidRDefault="00DE7573" w:rsidP="00B67787">
            <w:pPr>
              <w:pStyle w:val="TableParagraph"/>
              <w:spacing w:line="232" w:lineRule="auto"/>
              <w:ind w:left="51" w:right="46"/>
            </w:pPr>
            <w:r w:rsidRPr="009D3887">
              <w:t>Did you feel the project was worthwhile, effective?</w:t>
            </w:r>
          </w:p>
        </w:tc>
        <w:tc>
          <w:tcPr>
            <w:tcW w:w="7099" w:type="dxa"/>
          </w:tcPr>
          <w:p w14:paraId="4D76B008" w14:textId="1F23DD5B" w:rsidR="003F6609" w:rsidRPr="009D3887" w:rsidRDefault="00153F29" w:rsidP="00686C60">
            <w:pPr>
              <w:pStyle w:val="BodyText"/>
              <w:kinsoku w:val="0"/>
              <w:overflowPunct w:val="0"/>
              <w:ind w:left="86" w:right="72"/>
            </w:pPr>
            <w:r w:rsidRPr="00686C60">
              <w:rPr>
                <w:bCs/>
                <w:sz w:val="22"/>
                <w:szCs w:val="22"/>
              </w:rPr>
              <w:t>YES</w:t>
            </w:r>
          </w:p>
        </w:tc>
      </w:tr>
      <w:tr w:rsidR="003F6609" w14:paraId="4D76B00D" w14:textId="77777777" w:rsidTr="00686C60">
        <w:trPr>
          <w:trHeight w:hRule="exact" w:val="1477"/>
        </w:trPr>
        <w:tc>
          <w:tcPr>
            <w:tcW w:w="3673" w:type="dxa"/>
          </w:tcPr>
          <w:p w14:paraId="4D76B00A" w14:textId="1900A30D" w:rsidR="003F6609" w:rsidRPr="009D3887" w:rsidRDefault="00450A8E" w:rsidP="00B06011">
            <w:pPr>
              <w:pStyle w:val="TableParagraph"/>
              <w:spacing w:line="232" w:lineRule="auto"/>
              <w:ind w:left="51" w:right="177"/>
            </w:pPr>
            <w:r w:rsidRPr="009D3887">
              <w:t>How might you have performed the project differently?</w:t>
            </w:r>
          </w:p>
        </w:tc>
        <w:tc>
          <w:tcPr>
            <w:tcW w:w="7099" w:type="dxa"/>
          </w:tcPr>
          <w:p w14:paraId="4D76B00B" w14:textId="3DEFB1AB" w:rsidR="003F6609" w:rsidRPr="00686C60" w:rsidRDefault="00153F29" w:rsidP="00686C60">
            <w:pPr>
              <w:pStyle w:val="BodyText"/>
              <w:kinsoku w:val="0"/>
              <w:overflowPunct w:val="0"/>
              <w:ind w:left="86" w:right="72"/>
              <w:rPr>
                <w:bCs/>
                <w:sz w:val="22"/>
                <w:szCs w:val="22"/>
              </w:rPr>
            </w:pPr>
            <w:r w:rsidRPr="00686C60">
              <w:rPr>
                <w:bCs/>
                <w:sz w:val="22"/>
                <w:szCs w:val="22"/>
              </w:rPr>
              <w:t>Surveying more patients is helpful. We continue to ask patients about their experience to tailor it for them in many ways</w:t>
            </w:r>
          </w:p>
          <w:p w14:paraId="4D76B00C" w14:textId="77777777" w:rsidR="001D61A3" w:rsidRPr="009D3887" w:rsidRDefault="001D61A3" w:rsidP="00B06011">
            <w:pPr>
              <w:pStyle w:val="TableParagraph"/>
              <w:ind w:left="43" w:right="72"/>
            </w:pPr>
          </w:p>
        </w:tc>
      </w:tr>
      <w:tr w:rsidR="003F6609" w14:paraId="4D76B010" w14:textId="77777777" w:rsidTr="00686C60">
        <w:trPr>
          <w:trHeight w:hRule="exact" w:val="1495"/>
        </w:trPr>
        <w:tc>
          <w:tcPr>
            <w:tcW w:w="3673" w:type="dxa"/>
          </w:tcPr>
          <w:p w14:paraId="4D76B00E" w14:textId="6BF76281" w:rsidR="003F6609" w:rsidRPr="009D3887" w:rsidRDefault="000D287A" w:rsidP="00B67787">
            <w:pPr>
              <w:pStyle w:val="TableParagraph"/>
              <w:spacing w:line="232" w:lineRule="auto"/>
              <w:ind w:left="51" w:right="340"/>
            </w:pPr>
            <w:r w:rsidRPr="009D3887">
              <w:t>Please offer suggestions for other ophthalmologists undertaking a similar project.</w:t>
            </w:r>
          </w:p>
        </w:tc>
        <w:tc>
          <w:tcPr>
            <w:tcW w:w="7099" w:type="dxa"/>
          </w:tcPr>
          <w:p w14:paraId="2BBE3A92" w14:textId="209EBF16" w:rsidR="00686C60" w:rsidRPr="00686C60" w:rsidRDefault="00686C60" w:rsidP="00686C60">
            <w:pPr>
              <w:pStyle w:val="BodyText"/>
              <w:kinsoku w:val="0"/>
              <w:overflowPunct w:val="0"/>
              <w:ind w:left="86" w:right="72"/>
              <w:rPr>
                <w:bCs/>
                <w:sz w:val="22"/>
                <w:szCs w:val="22"/>
              </w:rPr>
            </w:pPr>
            <w:r w:rsidRPr="00686C60">
              <w:rPr>
                <w:bCs/>
                <w:sz w:val="22"/>
                <w:szCs w:val="22"/>
              </w:rPr>
              <w:t>Some people use subconjunctival lidocaine injections before the</w:t>
            </w:r>
            <w:r w:rsidR="00ED0254">
              <w:rPr>
                <w:bCs/>
                <w:sz w:val="22"/>
                <w:szCs w:val="22"/>
              </w:rPr>
              <w:t xml:space="preserve"> </w:t>
            </w:r>
            <w:r w:rsidR="00E53836">
              <w:rPr>
                <w:bCs/>
                <w:sz w:val="22"/>
                <w:szCs w:val="22"/>
              </w:rPr>
              <w:t>vit</w:t>
            </w:r>
            <w:r w:rsidRPr="00686C60">
              <w:rPr>
                <w:bCs/>
                <w:sz w:val="22"/>
                <w:szCs w:val="22"/>
              </w:rPr>
              <w:t xml:space="preserve">real injection. I rarely if ever do so. Possibly comparing that technique to the </w:t>
            </w:r>
            <w:r w:rsidR="00ED0254" w:rsidRPr="00686C60">
              <w:rPr>
                <w:bCs/>
                <w:sz w:val="22"/>
                <w:szCs w:val="22"/>
              </w:rPr>
              <w:t>Tetravisc</w:t>
            </w:r>
            <w:r w:rsidRPr="00686C60">
              <w:rPr>
                <w:bCs/>
                <w:sz w:val="22"/>
                <w:szCs w:val="22"/>
              </w:rPr>
              <w:t xml:space="preserve"> and or </w:t>
            </w:r>
            <w:r w:rsidR="00ED0254" w:rsidRPr="00686C60">
              <w:rPr>
                <w:bCs/>
                <w:sz w:val="22"/>
                <w:szCs w:val="22"/>
              </w:rPr>
              <w:t>pledget</w:t>
            </w:r>
            <w:r w:rsidRPr="00686C60">
              <w:rPr>
                <w:bCs/>
                <w:sz w:val="22"/>
                <w:szCs w:val="22"/>
              </w:rPr>
              <w:t xml:space="preserve"> would save an additional injection for the patients.</w:t>
            </w:r>
          </w:p>
          <w:p w14:paraId="4D76B00F" w14:textId="77777777" w:rsidR="003F6609" w:rsidRPr="009D3887" w:rsidRDefault="003F6609" w:rsidP="003F1660">
            <w:pPr>
              <w:spacing w:before="1" w:after="1"/>
              <w:ind w:left="187" w:right="101"/>
            </w:pPr>
          </w:p>
        </w:tc>
      </w:tr>
    </w:tbl>
    <w:p w14:paraId="4D76B014" w14:textId="55AB1D84" w:rsidR="00E63E58" w:rsidRDefault="00E63E58">
      <w:pPr>
        <w:pStyle w:val="BodyText"/>
        <w:ind w:left="101"/>
        <w:rPr>
          <w:sz w:val="20"/>
        </w:rPr>
      </w:pPr>
    </w:p>
    <w:p w14:paraId="20984398" w14:textId="0C65F49D"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CD1"/>
    <w:multiLevelType w:val="hybridMultilevel"/>
    <w:tmpl w:val="327AF4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3" w15:restartNumberingAfterBreak="0">
    <w:nsid w:val="1EC521A3"/>
    <w:multiLevelType w:val="hybridMultilevel"/>
    <w:tmpl w:val="23C49F9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6"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4181254B"/>
    <w:multiLevelType w:val="hybridMultilevel"/>
    <w:tmpl w:val="279009C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2"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3" w15:restartNumberingAfterBreak="0">
    <w:nsid w:val="65DD0AB7"/>
    <w:multiLevelType w:val="hybridMultilevel"/>
    <w:tmpl w:val="9C76FAC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75580D3A"/>
    <w:multiLevelType w:val="hybridMultilevel"/>
    <w:tmpl w:val="5802A6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0"/>
  </w:num>
  <w:num w:numId="6">
    <w:abstractNumId w:val="7"/>
  </w:num>
  <w:num w:numId="7">
    <w:abstractNumId w:val="14"/>
  </w:num>
  <w:num w:numId="8">
    <w:abstractNumId w:val="8"/>
  </w:num>
  <w:num w:numId="9">
    <w:abstractNumId w:val="1"/>
  </w:num>
  <w:num w:numId="10">
    <w:abstractNumId w:val="4"/>
  </w:num>
  <w:num w:numId="11">
    <w:abstractNumId w:val="11"/>
  </w:num>
  <w:num w:numId="12">
    <w:abstractNumId w:val="16"/>
  </w:num>
  <w:num w:numId="13">
    <w:abstractNumId w:val="17"/>
  </w:num>
  <w:num w:numId="14">
    <w:abstractNumId w:val="0"/>
  </w:num>
  <w:num w:numId="15">
    <w:abstractNumId w:val="9"/>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47C"/>
    <w:rsid w:val="00002A7E"/>
    <w:rsid w:val="00017DAF"/>
    <w:rsid w:val="00036A0B"/>
    <w:rsid w:val="00047494"/>
    <w:rsid w:val="00050F99"/>
    <w:rsid w:val="0005792F"/>
    <w:rsid w:val="00065F12"/>
    <w:rsid w:val="0007187F"/>
    <w:rsid w:val="000828DB"/>
    <w:rsid w:val="00085D27"/>
    <w:rsid w:val="00086177"/>
    <w:rsid w:val="0008781C"/>
    <w:rsid w:val="00087C92"/>
    <w:rsid w:val="000978D8"/>
    <w:rsid w:val="00097BFA"/>
    <w:rsid w:val="000A5878"/>
    <w:rsid w:val="000A70BB"/>
    <w:rsid w:val="000C0A73"/>
    <w:rsid w:val="000C0BF0"/>
    <w:rsid w:val="000D0724"/>
    <w:rsid w:val="000D287A"/>
    <w:rsid w:val="000F17ED"/>
    <w:rsid w:val="000F327A"/>
    <w:rsid w:val="000F59AB"/>
    <w:rsid w:val="00127127"/>
    <w:rsid w:val="00132DE1"/>
    <w:rsid w:val="00152541"/>
    <w:rsid w:val="001537B8"/>
    <w:rsid w:val="00153F29"/>
    <w:rsid w:val="00161BD9"/>
    <w:rsid w:val="001646DE"/>
    <w:rsid w:val="00165548"/>
    <w:rsid w:val="001727A0"/>
    <w:rsid w:val="001740AE"/>
    <w:rsid w:val="00194C78"/>
    <w:rsid w:val="0019602B"/>
    <w:rsid w:val="001A16A0"/>
    <w:rsid w:val="001A2606"/>
    <w:rsid w:val="001A6B95"/>
    <w:rsid w:val="001C0B0C"/>
    <w:rsid w:val="001C2713"/>
    <w:rsid w:val="001D61A3"/>
    <w:rsid w:val="001E3E5E"/>
    <w:rsid w:val="001E5612"/>
    <w:rsid w:val="001F457B"/>
    <w:rsid w:val="00203FF2"/>
    <w:rsid w:val="0020497E"/>
    <w:rsid w:val="00211364"/>
    <w:rsid w:val="0022551A"/>
    <w:rsid w:val="00226097"/>
    <w:rsid w:val="00226642"/>
    <w:rsid w:val="00226DB5"/>
    <w:rsid w:val="00233451"/>
    <w:rsid w:val="00247B49"/>
    <w:rsid w:val="0026142D"/>
    <w:rsid w:val="00264208"/>
    <w:rsid w:val="0028383F"/>
    <w:rsid w:val="00283851"/>
    <w:rsid w:val="002A0FF8"/>
    <w:rsid w:val="002A27CA"/>
    <w:rsid w:val="002B4D19"/>
    <w:rsid w:val="002B4E3F"/>
    <w:rsid w:val="002C1BF8"/>
    <w:rsid w:val="002C33E4"/>
    <w:rsid w:val="002D228F"/>
    <w:rsid w:val="002D3B1C"/>
    <w:rsid w:val="002F1633"/>
    <w:rsid w:val="002F2CA0"/>
    <w:rsid w:val="00325541"/>
    <w:rsid w:val="003314B1"/>
    <w:rsid w:val="003355AB"/>
    <w:rsid w:val="00341608"/>
    <w:rsid w:val="00342661"/>
    <w:rsid w:val="0034371D"/>
    <w:rsid w:val="003548D2"/>
    <w:rsid w:val="003566AC"/>
    <w:rsid w:val="0036435A"/>
    <w:rsid w:val="00367843"/>
    <w:rsid w:val="003737CC"/>
    <w:rsid w:val="0038202A"/>
    <w:rsid w:val="0039141A"/>
    <w:rsid w:val="003A11F8"/>
    <w:rsid w:val="003A30F8"/>
    <w:rsid w:val="003B4395"/>
    <w:rsid w:val="003B6CEC"/>
    <w:rsid w:val="003C1568"/>
    <w:rsid w:val="003D4C78"/>
    <w:rsid w:val="003E1AE1"/>
    <w:rsid w:val="003E57A1"/>
    <w:rsid w:val="003F1660"/>
    <w:rsid w:val="003F6609"/>
    <w:rsid w:val="004004E1"/>
    <w:rsid w:val="004030D0"/>
    <w:rsid w:val="00414074"/>
    <w:rsid w:val="004509DB"/>
    <w:rsid w:val="00450A8E"/>
    <w:rsid w:val="0045529D"/>
    <w:rsid w:val="00462DD3"/>
    <w:rsid w:val="0047416E"/>
    <w:rsid w:val="0049516F"/>
    <w:rsid w:val="004A3D37"/>
    <w:rsid w:val="004A6C33"/>
    <w:rsid w:val="004A6C89"/>
    <w:rsid w:val="004B1BEC"/>
    <w:rsid w:val="004B491F"/>
    <w:rsid w:val="004F7988"/>
    <w:rsid w:val="004F7A65"/>
    <w:rsid w:val="0050664B"/>
    <w:rsid w:val="0051214D"/>
    <w:rsid w:val="0052283E"/>
    <w:rsid w:val="005248F6"/>
    <w:rsid w:val="005319DA"/>
    <w:rsid w:val="00544DA4"/>
    <w:rsid w:val="005561B9"/>
    <w:rsid w:val="0056401B"/>
    <w:rsid w:val="00570FE6"/>
    <w:rsid w:val="0057721E"/>
    <w:rsid w:val="00581986"/>
    <w:rsid w:val="00587B3D"/>
    <w:rsid w:val="00590F56"/>
    <w:rsid w:val="005A0661"/>
    <w:rsid w:val="005A3526"/>
    <w:rsid w:val="005B1CF6"/>
    <w:rsid w:val="005B2C51"/>
    <w:rsid w:val="005B3C38"/>
    <w:rsid w:val="005C3FBF"/>
    <w:rsid w:val="005D00A2"/>
    <w:rsid w:val="005D1C40"/>
    <w:rsid w:val="005E66A8"/>
    <w:rsid w:val="005E794A"/>
    <w:rsid w:val="0061104D"/>
    <w:rsid w:val="00621655"/>
    <w:rsid w:val="00624261"/>
    <w:rsid w:val="0062555C"/>
    <w:rsid w:val="0063609E"/>
    <w:rsid w:val="00642282"/>
    <w:rsid w:val="00651F9C"/>
    <w:rsid w:val="00661F6F"/>
    <w:rsid w:val="0066231D"/>
    <w:rsid w:val="00672BEA"/>
    <w:rsid w:val="006761D3"/>
    <w:rsid w:val="00686C60"/>
    <w:rsid w:val="00692AAE"/>
    <w:rsid w:val="00697B34"/>
    <w:rsid w:val="006B27D4"/>
    <w:rsid w:val="006B2DC3"/>
    <w:rsid w:val="006B2EDB"/>
    <w:rsid w:val="006D2FAF"/>
    <w:rsid w:val="006D6DCC"/>
    <w:rsid w:val="006E14E3"/>
    <w:rsid w:val="006E79C0"/>
    <w:rsid w:val="006F1BED"/>
    <w:rsid w:val="007074C4"/>
    <w:rsid w:val="007149CF"/>
    <w:rsid w:val="007208A3"/>
    <w:rsid w:val="00733367"/>
    <w:rsid w:val="00751988"/>
    <w:rsid w:val="0075542A"/>
    <w:rsid w:val="00764E55"/>
    <w:rsid w:val="00767A87"/>
    <w:rsid w:val="00772F98"/>
    <w:rsid w:val="00777C9A"/>
    <w:rsid w:val="00790836"/>
    <w:rsid w:val="00796CBD"/>
    <w:rsid w:val="007A25BC"/>
    <w:rsid w:val="007A697D"/>
    <w:rsid w:val="007C388A"/>
    <w:rsid w:val="007D3DDC"/>
    <w:rsid w:val="007D4E84"/>
    <w:rsid w:val="007F0020"/>
    <w:rsid w:val="007F0D78"/>
    <w:rsid w:val="007F10D0"/>
    <w:rsid w:val="007F21B5"/>
    <w:rsid w:val="007F73BB"/>
    <w:rsid w:val="00803D07"/>
    <w:rsid w:val="00813E97"/>
    <w:rsid w:val="0084734F"/>
    <w:rsid w:val="0085668B"/>
    <w:rsid w:val="008676CA"/>
    <w:rsid w:val="00867A59"/>
    <w:rsid w:val="00870DB5"/>
    <w:rsid w:val="00884B55"/>
    <w:rsid w:val="0089304E"/>
    <w:rsid w:val="008A4425"/>
    <w:rsid w:val="008A7ECD"/>
    <w:rsid w:val="008B0486"/>
    <w:rsid w:val="008B1A4C"/>
    <w:rsid w:val="008B573F"/>
    <w:rsid w:val="008C6BD0"/>
    <w:rsid w:val="008D1F05"/>
    <w:rsid w:val="008E0BFA"/>
    <w:rsid w:val="008E6381"/>
    <w:rsid w:val="008F0CF4"/>
    <w:rsid w:val="008F64AB"/>
    <w:rsid w:val="00900883"/>
    <w:rsid w:val="00903690"/>
    <w:rsid w:val="00916FEF"/>
    <w:rsid w:val="00921AA5"/>
    <w:rsid w:val="00924A8E"/>
    <w:rsid w:val="00931584"/>
    <w:rsid w:val="009443BF"/>
    <w:rsid w:val="009623AB"/>
    <w:rsid w:val="00966223"/>
    <w:rsid w:val="00974DC5"/>
    <w:rsid w:val="00977F55"/>
    <w:rsid w:val="00992F71"/>
    <w:rsid w:val="009A5812"/>
    <w:rsid w:val="009A5EE3"/>
    <w:rsid w:val="009C0A49"/>
    <w:rsid w:val="009C1C3F"/>
    <w:rsid w:val="009C3CE6"/>
    <w:rsid w:val="009D0483"/>
    <w:rsid w:val="009D3887"/>
    <w:rsid w:val="009D3FBF"/>
    <w:rsid w:val="009E7279"/>
    <w:rsid w:val="009F1E7A"/>
    <w:rsid w:val="00A07EFE"/>
    <w:rsid w:val="00A27464"/>
    <w:rsid w:val="00A3319D"/>
    <w:rsid w:val="00A368BB"/>
    <w:rsid w:val="00A54C10"/>
    <w:rsid w:val="00A54FEF"/>
    <w:rsid w:val="00A553E0"/>
    <w:rsid w:val="00A562FC"/>
    <w:rsid w:val="00A672E1"/>
    <w:rsid w:val="00A7537E"/>
    <w:rsid w:val="00A84180"/>
    <w:rsid w:val="00A870B1"/>
    <w:rsid w:val="00A95847"/>
    <w:rsid w:val="00A95C42"/>
    <w:rsid w:val="00AB13EC"/>
    <w:rsid w:val="00AB5128"/>
    <w:rsid w:val="00AD13A5"/>
    <w:rsid w:val="00AD2C97"/>
    <w:rsid w:val="00AD2DFC"/>
    <w:rsid w:val="00AD7B1E"/>
    <w:rsid w:val="00B06011"/>
    <w:rsid w:val="00B15EEC"/>
    <w:rsid w:val="00B20824"/>
    <w:rsid w:val="00B2768F"/>
    <w:rsid w:val="00B3472D"/>
    <w:rsid w:val="00B42F91"/>
    <w:rsid w:val="00B43FCB"/>
    <w:rsid w:val="00B46D5C"/>
    <w:rsid w:val="00B54FE0"/>
    <w:rsid w:val="00B57FD8"/>
    <w:rsid w:val="00B84012"/>
    <w:rsid w:val="00B845CF"/>
    <w:rsid w:val="00B86F6F"/>
    <w:rsid w:val="00B87000"/>
    <w:rsid w:val="00B96431"/>
    <w:rsid w:val="00BA529B"/>
    <w:rsid w:val="00BA5FAB"/>
    <w:rsid w:val="00BC0808"/>
    <w:rsid w:val="00BD5DC8"/>
    <w:rsid w:val="00BD601C"/>
    <w:rsid w:val="00BE41E2"/>
    <w:rsid w:val="00BF18E9"/>
    <w:rsid w:val="00BF1B25"/>
    <w:rsid w:val="00BF6361"/>
    <w:rsid w:val="00C14407"/>
    <w:rsid w:val="00C15575"/>
    <w:rsid w:val="00C17B0C"/>
    <w:rsid w:val="00C215D2"/>
    <w:rsid w:val="00C23594"/>
    <w:rsid w:val="00C26101"/>
    <w:rsid w:val="00C34C56"/>
    <w:rsid w:val="00C37E9D"/>
    <w:rsid w:val="00C458BB"/>
    <w:rsid w:val="00C62E0D"/>
    <w:rsid w:val="00C6377D"/>
    <w:rsid w:val="00C72825"/>
    <w:rsid w:val="00C81422"/>
    <w:rsid w:val="00C85E58"/>
    <w:rsid w:val="00C92850"/>
    <w:rsid w:val="00CA38B8"/>
    <w:rsid w:val="00CB0D10"/>
    <w:rsid w:val="00CD4C2B"/>
    <w:rsid w:val="00CD7CCE"/>
    <w:rsid w:val="00CE4429"/>
    <w:rsid w:val="00CF7E6A"/>
    <w:rsid w:val="00D00F50"/>
    <w:rsid w:val="00D071F6"/>
    <w:rsid w:val="00D12B12"/>
    <w:rsid w:val="00D144C4"/>
    <w:rsid w:val="00D23493"/>
    <w:rsid w:val="00D431E3"/>
    <w:rsid w:val="00D470A3"/>
    <w:rsid w:val="00D604A4"/>
    <w:rsid w:val="00D6715F"/>
    <w:rsid w:val="00D72300"/>
    <w:rsid w:val="00D77401"/>
    <w:rsid w:val="00D77D74"/>
    <w:rsid w:val="00D85FF0"/>
    <w:rsid w:val="00DA13B3"/>
    <w:rsid w:val="00DB7689"/>
    <w:rsid w:val="00DD0B42"/>
    <w:rsid w:val="00DD7D73"/>
    <w:rsid w:val="00DE6AB8"/>
    <w:rsid w:val="00DE7573"/>
    <w:rsid w:val="00E0117D"/>
    <w:rsid w:val="00E041FA"/>
    <w:rsid w:val="00E13A2A"/>
    <w:rsid w:val="00E21581"/>
    <w:rsid w:val="00E2507E"/>
    <w:rsid w:val="00E3507C"/>
    <w:rsid w:val="00E35DEF"/>
    <w:rsid w:val="00E45893"/>
    <w:rsid w:val="00E53836"/>
    <w:rsid w:val="00E54A9D"/>
    <w:rsid w:val="00E612BA"/>
    <w:rsid w:val="00E63E58"/>
    <w:rsid w:val="00E67152"/>
    <w:rsid w:val="00EA16A2"/>
    <w:rsid w:val="00EA2448"/>
    <w:rsid w:val="00EA2EF8"/>
    <w:rsid w:val="00EB2D06"/>
    <w:rsid w:val="00EC2BA6"/>
    <w:rsid w:val="00ED0254"/>
    <w:rsid w:val="00ED5AA8"/>
    <w:rsid w:val="00ED69A2"/>
    <w:rsid w:val="00EE3AF2"/>
    <w:rsid w:val="00EE4B6C"/>
    <w:rsid w:val="00EF1669"/>
    <w:rsid w:val="00EF1A0A"/>
    <w:rsid w:val="00EF670B"/>
    <w:rsid w:val="00EF7BB3"/>
    <w:rsid w:val="00F05F1F"/>
    <w:rsid w:val="00F13071"/>
    <w:rsid w:val="00F43892"/>
    <w:rsid w:val="00F4726C"/>
    <w:rsid w:val="00F5108A"/>
    <w:rsid w:val="00F61B8A"/>
    <w:rsid w:val="00F61C7B"/>
    <w:rsid w:val="00F674CC"/>
    <w:rsid w:val="00F707C8"/>
    <w:rsid w:val="00F71A25"/>
    <w:rsid w:val="00F77718"/>
    <w:rsid w:val="00F97215"/>
    <w:rsid w:val="00FB4032"/>
    <w:rsid w:val="00FC015E"/>
    <w:rsid w:val="00FD0A92"/>
    <w:rsid w:val="00FD0F7E"/>
    <w:rsid w:val="00FD4644"/>
    <w:rsid w:val="00FD7762"/>
    <w:rsid w:val="00FE0296"/>
    <w:rsid w:val="00FE59CA"/>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0828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56401B"/>
    <w:rPr>
      <w:rFonts w:ascii="Calibri" w:eastAsia="Calibri" w:hAnsi="Calibri" w:cs="Calibri"/>
      <w:sz w:val="28"/>
      <w:szCs w:val="28"/>
    </w:rPr>
  </w:style>
  <w:style w:type="character" w:customStyle="1" w:styleId="Heading1Char">
    <w:name w:val="Heading 1 Char"/>
    <w:basedOn w:val="DefaultParagraphFont"/>
    <w:link w:val="Heading1"/>
    <w:uiPriority w:val="9"/>
    <w:rsid w:val="00082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940AE-0333-4517-BB18-41F8F80CCF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a80a4-0a34-4a67-9cf8-de10a78c60a6"/>
    <ds:schemaRef ds:uri="http://www.w3.org/XML/1998/namespace"/>
    <ds:schemaRef ds:uri="http://purl.org/dc/dcmitype/"/>
  </ds:schemaRefs>
</ds:datastoreItem>
</file>

<file path=customXml/itemProps2.xml><?xml version="1.0" encoding="utf-8"?>
<ds:datastoreItem xmlns:ds="http://schemas.openxmlformats.org/officeDocument/2006/customXml" ds:itemID="{30539AEA-7EE2-4AE2-99AD-AF207D59D916}">
  <ds:schemaRefs>
    <ds:schemaRef ds:uri="http://schemas.microsoft.com/sharepoint/v3/contenttype/forms"/>
  </ds:schemaRefs>
</ds:datastoreItem>
</file>

<file path=customXml/itemProps3.xml><?xml version="1.0" encoding="utf-8"?>
<ds:datastoreItem xmlns:ds="http://schemas.openxmlformats.org/officeDocument/2006/customXml" ds:itemID="{8B228225-6508-4FE6-ABA0-4154BEF3D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33</cp:revision>
  <cp:lastPrinted>2018-04-20T13:38:00Z</cp:lastPrinted>
  <dcterms:created xsi:type="dcterms:W3CDTF">2019-08-19T17:48:00Z</dcterms:created>
  <dcterms:modified xsi:type="dcterms:W3CDTF">2019-08-19T20:41:00Z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